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2C702E" w:rsidRDefault="00FB2868" w:rsidP="00FB2868">
      <w:pPr>
        <w:pStyle w:val="Title"/>
        <w:rPr>
          <w:lang w:val="en-GB"/>
        </w:rPr>
      </w:pPr>
      <w:r w:rsidRPr="002C702E">
        <w:rPr>
          <w:lang w:val="en-GB"/>
        </w:rPr>
        <w:t>Reform step monitoring template</w:t>
      </w:r>
    </w:p>
    <w:p w14:paraId="40E56BA5" w14:textId="77777777" w:rsidR="00FB2868" w:rsidRPr="002C702E" w:rsidRDefault="00FB2868" w:rsidP="00FB2868">
      <w:pPr>
        <w:pStyle w:val="Heading1"/>
        <w:numPr>
          <w:ilvl w:val="0"/>
          <w:numId w:val="1"/>
        </w:numPr>
        <w:rPr>
          <w:lang w:val="en-GB"/>
        </w:rPr>
      </w:pPr>
      <w:r w:rsidRPr="002C702E">
        <w:rPr>
          <w:lang w:val="en-GB"/>
        </w:rPr>
        <w:t>Step overview</w:t>
      </w:r>
    </w:p>
    <w:p w14:paraId="3C5F72EE" w14:textId="77777777" w:rsidR="00FB2868" w:rsidRPr="002C702E" w:rsidRDefault="00FB2868" w:rsidP="00FB2868">
      <w:pPr>
        <w:rPr>
          <w:lang w:val="en-GB"/>
        </w:rPr>
      </w:pPr>
    </w:p>
    <w:tbl>
      <w:tblPr>
        <w:tblStyle w:val="GridTable1Light"/>
        <w:tblW w:w="8926" w:type="dxa"/>
        <w:tblLook w:val="0400" w:firstRow="0" w:lastRow="0" w:firstColumn="0" w:lastColumn="0" w:noHBand="0" w:noVBand="1"/>
      </w:tblPr>
      <w:tblGrid>
        <w:gridCol w:w="2122"/>
        <w:gridCol w:w="6804"/>
      </w:tblGrid>
      <w:tr w:rsidR="00FB2868" w:rsidRPr="002C702E" w14:paraId="172759EA" w14:textId="77777777">
        <w:trPr>
          <w:trHeight w:val="399"/>
        </w:trPr>
        <w:tc>
          <w:tcPr>
            <w:tcW w:w="2122" w:type="dxa"/>
            <w:shd w:val="clear" w:color="auto" w:fill="0E2841" w:themeFill="text2"/>
          </w:tcPr>
          <w:p w14:paraId="34C8F41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Sub-area</w:t>
            </w:r>
          </w:p>
        </w:tc>
        <w:tc>
          <w:tcPr>
            <w:tcW w:w="6804" w:type="dxa"/>
            <w:shd w:val="clear" w:color="auto" w:fill="DAE9F7" w:themeFill="text2" w:themeFillTint="1A"/>
          </w:tcPr>
          <w:p w14:paraId="1C4827B0"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6.2. Private sector development</w:t>
            </w:r>
          </w:p>
        </w:tc>
      </w:tr>
      <w:tr w:rsidR="00FB2868" w:rsidRPr="002C702E" w14:paraId="16793E17" w14:textId="77777777">
        <w:trPr>
          <w:trHeight w:val="393"/>
        </w:trPr>
        <w:tc>
          <w:tcPr>
            <w:tcW w:w="2122" w:type="dxa"/>
            <w:shd w:val="clear" w:color="auto" w:fill="0E2841" w:themeFill="text2"/>
          </w:tcPr>
          <w:p w14:paraId="5BB12AB7"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w:t>
            </w:r>
          </w:p>
        </w:tc>
        <w:tc>
          <w:tcPr>
            <w:tcW w:w="6804" w:type="dxa"/>
            <w:shd w:val="clear" w:color="auto" w:fill="DAE9F7" w:themeFill="text2" w:themeFillTint="1A"/>
          </w:tcPr>
          <w:p w14:paraId="36C09DFA" w14:textId="77777777"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6.2.1. Enhanced investment and development opportunities for entrepreneurs and private sector – Transparency of the laws relevant for businesses</w:t>
            </w:r>
          </w:p>
        </w:tc>
      </w:tr>
      <w:tr w:rsidR="00FB2868" w:rsidRPr="002C702E" w14:paraId="292FB949" w14:textId="77777777">
        <w:trPr>
          <w:trHeight w:val="393"/>
        </w:trPr>
        <w:tc>
          <w:tcPr>
            <w:tcW w:w="2122" w:type="dxa"/>
            <w:shd w:val="clear" w:color="auto" w:fill="0E2841" w:themeFill="text2"/>
          </w:tcPr>
          <w:p w14:paraId="444FA9A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Reporting indicator</w:t>
            </w:r>
          </w:p>
        </w:tc>
        <w:tc>
          <w:tcPr>
            <w:tcW w:w="6804" w:type="dxa"/>
            <w:shd w:val="clear" w:color="auto" w:fill="DAE9F7" w:themeFill="text2" w:themeFillTint="1A"/>
          </w:tcPr>
          <w:p w14:paraId="3F2C7FCD" w14:textId="5BEEEE1B" w:rsidR="00FB2868" w:rsidRPr="002C702E" w:rsidRDefault="00477BCD">
            <w:pPr>
              <w:spacing w:before="120" w:after="120"/>
              <w:rPr>
                <w:rFonts w:ascii="Aptos" w:eastAsia="Times New Roman" w:hAnsi="Aptos" w:cs="Times New Roman"/>
                <w:color w:val="000000"/>
                <w:kern w:val="0"/>
                <w:sz w:val="20"/>
                <w:szCs w:val="20"/>
                <w:lang w:val="en-GB" w:eastAsia="en-GB"/>
                <w14:ligatures w14:val="none"/>
              </w:rPr>
            </w:pPr>
            <w:r w:rsidRPr="00477BCD">
              <w:rPr>
                <w:rFonts w:ascii="Aptos" w:eastAsia="Times New Roman" w:hAnsi="Aptos" w:cs="Times New Roman"/>
                <w:color w:val="000000"/>
                <w:kern w:val="0"/>
                <w:sz w:val="20"/>
                <w:szCs w:val="20"/>
                <w:lang w:val="en-GB" w:eastAsia="en-GB"/>
                <w14:ligatures w14:val="none"/>
              </w:rPr>
              <w:t>Degree of alignment of State Aid with EU acquis</w:t>
            </w:r>
          </w:p>
        </w:tc>
      </w:tr>
      <w:tr w:rsidR="00FB2868" w:rsidRPr="002C702E" w14:paraId="497EE0E9" w14:textId="77777777">
        <w:trPr>
          <w:trHeight w:val="759"/>
        </w:trPr>
        <w:tc>
          <w:tcPr>
            <w:tcW w:w="2122" w:type="dxa"/>
            <w:shd w:val="clear" w:color="auto" w:fill="0E2841" w:themeFill="text2"/>
          </w:tcPr>
          <w:p w14:paraId="26E3E8E2"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Reform Step</w:t>
            </w:r>
          </w:p>
        </w:tc>
        <w:tc>
          <w:tcPr>
            <w:tcW w:w="6804" w:type="dxa"/>
          </w:tcPr>
          <w:p w14:paraId="1069E4E5" w14:textId="47CC09CE" w:rsidR="00FB2868" w:rsidRPr="002C702E" w:rsidRDefault="00477BCD">
            <w:pPr>
              <w:spacing w:before="120" w:after="120"/>
              <w:rPr>
                <w:rFonts w:ascii="Aptos" w:eastAsia="Times New Roman" w:hAnsi="Aptos" w:cs="Times New Roman"/>
                <w:color w:val="000000"/>
                <w:kern w:val="0"/>
                <w:sz w:val="20"/>
                <w:szCs w:val="20"/>
                <w:lang w:val="en-GB" w:eastAsia="en-GB"/>
                <w14:ligatures w14:val="none"/>
              </w:rPr>
            </w:pPr>
            <w:r w:rsidRPr="00477BCD">
              <w:rPr>
                <w:rFonts w:ascii="Aptos" w:eastAsia="Times New Roman" w:hAnsi="Aptos" w:cs="Times New Roman"/>
                <w:color w:val="000000"/>
                <w:kern w:val="0"/>
                <w:sz w:val="20"/>
                <w:szCs w:val="20"/>
                <w:lang w:val="en-GB" w:eastAsia="en-GB"/>
                <w14:ligatures w14:val="none"/>
              </w:rPr>
              <w:t>Final inventory submitted in line with the European Commission’s comments from March 2024</w:t>
            </w:r>
          </w:p>
        </w:tc>
      </w:tr>
      <w:tr w:rsidR="00FB2868" w:rsidRPr="002C702E" w14:paraId="62A8853E" w14:textId="77777777">
        <w:trPr>
          <w:trHeight w:val="559"/>
        </w:trPr>
        <w:tc>
          <w:tcPr>
            <w:tcW w:w="2122" w:type="dxa"/>
            <w:shd w:val="clear" w:color="auto" w:fill="0E2841" w:themeFill="text2"/>
          </w:tcPr>
          <w:p w14:paraId="23871B92"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Step deadline</w:t>
            </w:r>
          </w:p>
        </w:tc>
        <w:tc>
          <w:tcPr>
            <w:tcW w:w="6804" w:type="dxa"/>
          </w:tcPr>
          <w:p w14:paraId="11396A1D" w14:textId="1908BBCE" w:rsidR="00FB2868" w:rsidRPr="002C702E" w:rsidRDefault="00FB2868">
            <w:pPr>
              <w:spacing w:before="120" w:after="120"/>
              <w:rPr>
                <w:rFonts w:ascii="Aptos" w:eastAsia="Times New Roman" w:hAnsi="Aptos" w:cs="Times New Roman"/>
                <w:color w:val="000000"/>
                <w:kern w:val="0"/>
                <w:sz w:val="20"/>
                <w:szCs w:val="20"/>
                <w:lang w:val="en-GB" w:eastAsia="en-GB"/>
                <w14:ligatures w14:val="none"/>
              </w:rPr>
            </w:pPr>
            <w:r w:rsidRPr="002C702E">
              <w:rPr>
                <w:rFonts w:ascii="Aptos" w:eastAsia="Times New Roman" w:hAnsi="Aptos" w:cs="Times New Roman"/>
                <w:color w:val="000000"/>
                <w:kern w:val="0"/>
                <w:sz w:val="20"/>
                <w:szCs w:val="20"/>
                <w:lang w:val="en-GB" w:eastAsia="en-GB"/>
                <w14:ligatures w14:val="none"/>
              </w:rPr>
              <w:t>December 202</w:t>
            </w:r>
            <w:r w:rsidR="00477BCD">
              <w:rPr>
                <w:rFonts w:ascii="Aptos" w:eastAsia="Times New Roman" w:hAnsi="Aptos" w:cs="Times New Roman"/>
                <w:color w:val="000000"/>
                <w:kern w:val="0"/>
                <w:sz w:val="20"/>
                <w:szCs w:val="20"/>
                <w:lang w:val="en-GB" w:eastAsia="en-GB"/>
                <w14:ligatures w14:val="none"/>
              </w:rPr>
              <w:t>4</w:t>
            </w:r>
          </w:p>
        </w:tc>
      </w:tr>
      <w:tr w:rsidR="00FB2868" w:rsidRPr="002C702E" w14:paraId="2102B1F0" w14:textId="77777777">
        <w:trPr>
          <w:trHeight w:val="553"/>
        </w:trPr>
        <w:tc>
          <w:tcPr>
            <w:tcW w:w="2122" w:type="dxa"/>
            <w:shd w:val="clear" w:color="auto" w:fill="0E2841" w:themeFill="text2"/>
          </w:tcPr>
          <w:p w14:paraId="760C89E4"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Step value in EUR</w:t>
            </w:r>
          </w:p>
        </w:tc>
        <w:tc>
          <w:tcPr>
            <w:tcW w:w="6804" w:type="dxa"/>
          </w:tcPr>
          <w:p w14:paraId="5A12DF05" w14:textId="4F9C54AC" w:rsidR="00FB2868" w:rsidRPr="002C702E" w:rsidRDefault="00477BCD">
            <w:pPr>
              <w:spacing w:before="120" w:after="120"/>
              <w:rPr>
                <w:rFonts w:ascii="Aptos" w:eastAsia="Times New Roman" w:hAnsi="Aptos" w:cs="Times New Roman"/>
                <w:color w:val="000000"/>
                <w:kern w:val="0"/>
                <w:sz w:val="20"/>
                <w:szCs w:val="20"/>
                <w:lang w:val="en-GB" w:eastAsia="en-GB"/>
                <w14:ligatures w14:val="none"/>
              </w:rPr>
            </w:pPr>
            <w:r w:rsidRPr="00477BCD">
              <w:rPr>
                <w:rFonts w:ascii="Aptos" w:eastAsia="Times New Roman" w:hAnsi="Aptos" w:cs="Times New Roman"/>
                <w:color w:val="000000"/>
                <w:kern w:val="0"/>
                <w:sz w:val="20"/>
                <w:szCs w:val="20"/>
                <w:lang w:val="en-GB" w:eastAsia="en-GB"/>
                <w14:ligatures w14:val="none"/>
              </w:rPr>
              <w:t>3.396.905,84</w:t>
            </w:r>
          </w:p>
        </w:tc>
      </w:tr>
      <w:tr w:rsidR="00FB2868" w:rsidRPr="002C702E" w14:paraId="2CBE848B" w14:textId="77777777">
        <w:trPr>
          <w:trHeight w:val="535"/>
        </w:trPr>
        <w:tc>
          <w:tcPr>
            <w:tcW w:w="2122" w:type="dxa"/>
            <w:shd w:val="clear" w:color="auto" w:fill="0E2841" w:themeFill="text2"/>
          </w:tcPr>
          <w:p w14:paraId="7F7105F9" w14:textId="77777777" w:rsidR="00FB2868" w:rsidRPr="002C702E" w:rsidRDefault="00FB2868">
            <w:pPr>
              <w:spacing w:before="120" w:after="120"/>
              <w:rPr>
                <w:rFonts w:ascii="Aptos" w:eastAsia="Times New Roman" w:hAnsi="Aptos" w:cs="Times New Roman"/>
                <w:b/>
                <w:bCs/>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Responsible</w:t>
            </w:r>
          </w:p>
        </w:tc>
        <w:tc>
          <w:tcPr>
            <w:tcW w:w="6804" w:type="dxa"/>
          </w:tcPr>
          <w:p w14:paraId="2DFF0DBB" w14:textId="39AE58DF" w:rsidR="00FB2868" w:rsidRPr="002C702E" w:rsidRDefault="00477BCD">
            <w:pPr>
              <w:spacing w:before="120" w:after="120"/>
              <w:rPr>
                <w:rFonts w:ascii="Aptos" w:eastAsia="Times New Roman" w:hAnsi="Aptos" w:cs="Times New Roman"/>
                <w:color w:val="000000"/>
                <w:kern w:val="0"/>
                <w:sz w:val="20"/>
                <w:szCs w:val="20"/>
                <w:lang w:val="en-GB" w:eastAsia="en-GB"/>
                <w14:ligatures w14:val="none"/>
              </w:rPr>
            </w:pPr>
            <w:r w:rsidRPr="00477BCD">
              <w:rPr>
                <w:rFonts w:ascii="Aptos" w:eastAsia="Times New Roman" w:hAnsi="Aptos" w:cs="Times New Roman"/>
                <w:color w:val="000000"/>
                <w:kern w:val="0"/>
                <w:sz w:val="20"/>
                <w:szCs w:val="20"/>
                <w:lang w:val="en-GB" w:eastAsia="en-GB"/>
                <w14:ligatures w14:val="none"/>
              </w:rPr>
              <w:t>Commission for State Aid Control</w:t>
            </w:r>
          </w:p>
        </w:tc>
      </w:tr>
      <w:tr w:rsidR="00FB2868" w:rsidRPr="002C702E" w14:paraId="55F650B8" w14:textId="77777777">
        <w:trPr>
          <w:trHeight w:val="583"/>
        </w:trPr>
        <w:tc>
          <w:tcPr>
            <w:tcW w:w="2122" w:type="dxa"/>
            <w:shd w:val="clear" w:color="auto" w:fill="0E2841" w:themeFill="text2"/>
          </w:tcPr>
          <w:p w14:paraId="23EF9886" w14:textId="77777777" w:rsidR="00FB2868" w:rsidRPr="002C702E" w:rsidRDefault="00FB2868">
            <w:pPr>
              <w:spacing w:before="120" w:after="120"/>
              <w:rPr>
                <w:rFonts w:ascii="Aptos" w:eastAsia="Times New Roman" w:hAnsi="Aptos" w:cs="Times New Roman"/>
                <w:sz w:val="20"/>
                <w:szCs w:val="20"/>
                <w:lang w:val="en-GB" w:eastAsia="en-GB"/>
              </w:rPr>
            </w:pPr>
            <w:r w:rsidRPr="002C702E">
              <w:rPr>
                <w:rFonts w:ascii="Aptos" w:eastAsia="Times New Roman" w:hAnsi="Aptos" w:cs="Times New Roman"/>
                <w:b/>
                <w:bCs/>
                <w:kern w:val="0"/>
                <w:sz w:val="20"/>
                <w:szCs w:val="20"/>
                <w:lang w:val="en-GB" w:eastAsia="en-GB"/>
                <w14:ligatures w14:val="none"/>
              </w:rPr>
              <w:t>Baseline</w:t>
            </w:r>
          </w:p>
        </w:tc>
        <w:tc>
          <w:tcPr>
            <w:tcW w:w="6804" w:type="dxa"/>
          </w:tcPr>
          <w:p w14:paraId="39BAFFDB" w14:textId="6F5A3D14" w:rsidR="00FB2868" w:rsidRPr="002C702E" w:rsidRDefault="00477BCD">
            <w:pPr>
              <w:spacing w:before="120" w:after="120"/>
              <w:rPr>
                <w:rFonts w:ascii="Aptos" w:eastAsia="Times New Roman" w:hAnsi="Aptos" w:cs="Times New Roman"/>
                <w:color w:val="000000"/>
                <w:kern w:val="0"/>
                <w:sz w:val="20"/>
                <w:szCs w:val="20"/>
                <w:lang w:val="en-GB" w:eastAsia="en-GB"/>
                <w14:ligatures w14:val="none"/>
              </w:rPr>
            </w:pPr>
            <w:r w:rsidRPr="00477BCD">
              <w:rPr>
                <w:rFonts w:ascii="Aptos" w:eastAsia="Times New Roman" w:hAnsi="Aptos" w:cs="Times New Roman"/>
                <w:color w:val="000000"/>
                <w:kern w:val="0"/>
                <w:sz w:val="20"/>
                <w:szCs w:val="20"/>
                <w:lang w:val="en-GB" w:eastAsia="en-GB"/>
                <w14:ligatures w14:val="none"/>
              </w:rPr>
              <w:t>State aid inventory adopted by the CSAC on February 9, 2024</w:t>
            </w:r>
          </w:p>
        </w:tc>
      </w:tr>
      <w:tr w:rsidR="00FB2868" w:rsidRPr="002C702E" w14:paraId="3D8C29E1" w14:textId="77777777">
        <w:trPr>
          <w:trHeight w:val="577"/>
        </w:trPr>
        <w:tc>
          <w:tcPr>
            <w:tcW w:w="2122" w:type="dxa"/>
            <w:shd w:val="clear" w:color="auto" w:fill="0E2841" w:themeFill="text2"/>
          </w:tcPr>
          <w:p w14:paraId="65838CB7" w14:textId="77777777" w:rsidR="00FB2868" w:rsidRPr="002C702E" w:rsidRDefault="00FB2868">
            <w:pPr>
              <w:spacing w:before="120" w:after="120"/>
              <w:rPr>
                <w:rFonts w:ascii="Aptos" w:eastAsia="Times New Roman" w:hAnsi="Aptos" w:cs="Times New Roman"/>
                <w:b/>
                <w:bCs/>
                <w:color w:val="000000"/>
                <w:kern w:val="0"/>
                <w:sz w:val="20"/>
                <w:szCs w:val="20"/>
                <w:lang w:val="en-GB" w:eastAsia="en-GB"/>
                <w14:ligatures w14:val="none"/>
              </w:rPr>
            </w:pPr>
            <w:r w:rsidRPr="002C702E">
              <w:rPr>
                <w:rFonts w:ascii="Aptos" w:eastAsia="Times New Roman" w:hAnsi="Aptos" w:cs="Times New Roman"/>
                <w:b/>
                <w:bCs/>
                <w:kern w:val="0"/>
                <w:sz w:val="20"/>
                <w:szCs w:val="20"/>
                <w:lang w:val="en-GB" w:eastAsia="en-GB"/>
                <w14:ligatures w14:val="none"/>
              </w:rPr>
              <w:t>Sources of verification</w:t>
            </w:r>
          </w:p>
        </w:tc>
        <w:tc>
          <w:tcPr>
            <w:tcW w:w="6804" w:type="dxa"/>
          </w:tcPr>
          <w:p w14:paraId="02BA3B93" w14:textId="0405486E" w:rsidR="00FB2868" w:rsidRPr="002C702E" w:rsidRDefault="00477BCD" w:rsidP="00477BCD">
            <w:pPr>
              <w:spacing w:before="120" w:after="120"/>
              <w:rPr>
                <w:rFonts w:ascii="Aptos" w:eastAsia="Times New Roman" w:hAnsi="Aptos" w:cs="Times New Roman"/>
                <w:color w:val="000000"/>
                <w:kern w:val="0"/>
                <w:sz w:val="20"/>
                <w:szCs w:val="20"/>
                <w:lang w:val="en-GB" w:eastAsia="en-GB"/>
                <w14:ligatures w14:val="none"/>
              </w:rPr>
            </w:pPr>
            <w:r w:rsidRPr="00477BCD">
              <w:rPr>
                <w:rFonts w:ascii="Aptos" w:eastAsia="Times New Roman" w:hAnsi="Aptos" w:cs="Times New Roman"/>
                <w:color w:val="000000"/>
                <w:kern w:val="0"/>
                <w:sz w:val="20"/>
                <w:szCs w:val="20"/>
                <w:lang w:val="en-GB" w:eastAsia="en-GB"/>
                <w14:ligatures w14:val="none"/>
              </w:rPr>
              <w:t>Conclusion of the Government and official</w:t>
            </w:r>
            <w:r w:rsidR="007202E9">
              <w:rPr>
                <w:rFonts w:ascii="Aptos" w:eastAsia="Times New Roman" w:hAnsi="Aptos" w:cs="Times New Roman"/>
                <w:color w:val="000000"/>
                <w:kern w:val="0"/>
                <w:sz w:val="20"/>
                <w:szCs w:val="20"/>
                <w:lang w:val="en-GB" w:eastAsia="en-GB"/>
                <w14:ligatures w14:val="none"/>
              </w:rPr>
              <w:t xml:space="preserve"> </w:t>
            </w:r>
            <w:r w:rsidRPr="00477BCD">
              <w:rPr>
                <w:rFonts w:ascii="Aptos" w:eastAsia="Times New Roman" w:hAnsi="Aptos" w:cs="Times New Roman"/>
                <w:color w:val="000000"/>
                <w:kern w:val="0"/>
                <w:sz w:val="20"/>
                <w:szCs w:val="20"/>
                <w:lang w:val="en-GB" w:eastAsia="en-GB"/>
                <w14:ligatures w14:val="none"/>
              </w:rPr>
              <w:t>letter submitted to EC</w:t>
            </w:r>
          </w:p>
        </w:tc>
      </w:tr>
    </w:tbl>
    <w:p w14:paraId="452F6E6A" w14:textId="77777777" w:rsidR="00FB2868" w:rsidRPr="002C702E" w:rsidRDefault="00FB2868" w:rsidP="00FB2868">
      <w:pPr>
        <w:rPr>
          <w:lang w:val="en-GB"/>
        </w:rPr>
      </w:pPr>
    </w:p>
    <w:p w14:paraId="47ABA289" w14:textId="77777777" w:rsidR="00FB2868" w:rsidRPr="002C702E" w:rsidRDefault="00FB2868" w:rsidP="00FB2868">
      <w:pPr>
        <w:pStyle w:val="Heading1"/>
        <w:numPr>
          <w:ilvl w:val="0"/>
          <w:numId w:val="1"/>
        </w:numPr>
        <w:rPr>
          <w:lang w:val="en-GB"/>
        </w:rPr>
      </w:pPr>
      <w:r w:rsidRPr="002C702E">
        <w:rPr>
          <w:lang w:val="en-GB"/>
        </w:rPr>
        <w:t>Analysis</w:t>
      </w:r>
    </w:p>
    <w:p w14:paraId="1E874D4B"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Define step milestones</w:t>
            </w:r>
          </w:p>
        </w:tc>
        <w:tc>
          <w:tcPr>
            <w:tcW w:w="6753" w:type="dxa"/>
          </w:tcPr>
          <w:p w14:paraId="4FC55088" w14:textId="77777777" w:rsidR="00845104" w:rsidRPr="002C702E" w:rsidRDefault="00845104" w:rsidP="0084510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For each step, based on the provisions of the Reform Agenda, define several key milestones for full achievement and number them. E.g. for a legislative step, that can include: 1. Announcement of the work on the new law, 2. Setting up a working group, 3. Initial consultation (via eConsultation portal), 4. Publication of all key materials on eConsultation portal (draft law, RIA, consultation report), 5. Public debate in accordance with the Rules of Procedure of the Government, 6. Adoption in Parliament (with analysis of the adoption procedure). Depending on the reform step, make sure that milestones </w:t>
            </w:r>
            <w:proofErr w:type="gramStart"/>
            <w:r w:rsidRPr="002C702E">
              <w:rPr>
                <w:i/>
                <w:iCs/>
                <w:sz w:val="20"/>
                <w:szCs w:val="20"/>
                <w:lang w:val="en-GB"/>
              </w:rPr>
              <w:t>take into account</w:t>
            </w:r>
            <w:proofErr w:type="gramEnd"/>
            <w:r w:rsidRPr="002C702E">
              <w:rPr>
                <w:i/>
                <w:iCs/>
                <w:sz w:val="20"/>
                <w:szCs w:val="20"/>
                <w:lang w:val="en-GB"/>
              </w:rPr>
              <w:t xml:space="preserve"> applicable legal requirements (e.g. Law on the Planning System, Government Rules of Procedure, etc.).</w:t>
            </w:r>
          </w:p>
          <w:p w14:paraId="398BA2D6" w14:textId="1DD68478" w:rsidR="00127F47" w:rsidRDefault="00127F47" w:rsidP="00127F47">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For this step, since its very strict and straight-forward, only t</w:t>
            </w:r>
            <w:r w:rsidR="002B2FD5">
              <w:rPr>
                <w:sz w:val="20"/>
                <w:szCs w:val="20"/>
                <w:lang w:val="en-GB"/>
              </w:rPr>
              <w:t>hree</w:t>
            </w:r>
            <w:r>
              <w:rPr>
                <w:sz w:val="20"/>
                <w:szCs w:val="20"/>
                <w:lang w:val="en-GB"/>
              </w:rPr>
              <w:t xml:space="preserve"> milestones will be applied:</w:t>
            </w:r>
          </w:p>
          <w:p w14:paraId="4B308AE1" w14:textId="7C040EA2" w:rsidR="00127F47" w:rsidRPr="0017351B" w:rsidRDefault="007202E9" w:rsidP="00127F47">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rPr>
              <w:t xml:space="preserve">Preparation </w:t>
            </w:r>
            <w:r w:rsidR="00127F47">
              <w:rPr>
                <w:sz w:val="20"/>
                <w:szCs w:val="20"/>
              </w:rPr>
              <w:t>of final inventory in line with EC comments from March 2024</w:t>
            </w:r>
          </w:p>
          <w:p w14:paraId="337B12EE" w14:textId="09EB52C6" w:rsidR="0017351B" w:rsidRPr="00127F47" w:rsidRDefault="0017351B" w:rsidP="00127F47">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Adoption </w:t>
            </w:r>
            <w:r>
              <w:rPr>
                <w:sz w:val="20"/>
                <w:szCs w:val="20"/>
              </w:rPr>
              <w:t>of final inventory</w:t>
            </w:r>
            <w:r w:rsidR="00305E86">
              <w:rPr>
                <w:sz w:val="20"/>
                <w:szCs w:val="20"/>
              </w:rPr>
              <w:t xml:space="preserve"> by the Government</w:t>
            </w:r>
            <w:r>
              <w:rPr>
                <w:sz w:val="20"/>
                <w:szCs w:val="20"/>
              </w:rPr>
              <w:t xml:space="preserve"> in line with EC comments from March 2024</w:t>
            </w:r>
            <w:r w:rsidR="00305E86">
              <w:rPr>
                <w:sz w:val="20"/>
                <w:szCs w:val="20"/>
              </w:rPr>
              <w:t>.</w:t>
            </w:r>
          </w:p>
          <w:p w14:paraId="70DF900B" w14:textId="6B4B0940" w:rsidR="00127F47" w:rsidRPr="00127F47" w:rsidRDefault="00127F47" w:rsidP="00127F47">
            <w:pPr>
              <w:pStyle w:val="ListParagraph"/>
              <w:numPr>
                <w:ilvl w:val="0"/>
                <w:numId w:val="7"/>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Publishing and public availability of adopted document</w:t>
            </w:r>
          </w:p>
        </w:tc>
      </w:tr>
      <w:tr w:rsidR="00FB2868" w:rsidRPr="002C702E"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achievement of each milestone</w:t>
            </w:r>
          </w:p>
        </w:tc>
        <w:tc>
          <w:tcPr>
            <w:tcW w:w="6753" w:type="dxa"/>
          </w:tcPr>
          <w:p w14:paraId="01E1964E" w14:textId="77777777" w:rsidR="00530194" w:rsidRPr="002C702E" w:rsidRDefault="00530194" w:rsidP="00FB0049">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For each identified milestone, provide a succinct analysis of its implementation</w:t>
            </w:r>
            <w:r>
              <w:rPr>
                <w:i/>
                <w:iCs/>
                <w:sz w:val="20"/>
                <w:szCs w:val="20"/>
                <w:lang w:val="en-GB"/>
              </w:rPr>
              <w:t xml:space="preserve"> process</w:t>
            </w:r>
            <w:r w:rsidRPr="002C702E">
              <w:rPr>
                <w:i/>
                <w:iCs/>
                <w:sz w:val="20"/>
                <w:szCs w:val="20"/>
                <w:lang w:val="en-GB"/>
              </w:rPr>
              <w:t>. Use numbered points corresponding to the defined milestones above. Please provide references wherever possible.</w:t>
            </w:r>
          </w:p>
          <w:p w14:paraId="72FC017E" w14:textId="1C485FA3" w:rsidR="00127F47" w:rsidRDefault="00127F47" w:rsidP="00FD425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For defined milestones, achievement will be measured through:</w:t>
            </w:r>
          </w:p>
          <w:p w14:paraId="73CDFF35" w14:textId="1D2C0D60" w:rsidR="002F4977" w:rsidRPr="00881FDE" w:rsidRDefault="00881FDE" w:rsidP="00881FDE">
            <w:pPr>
              <w:pStyle w:val="ListParagraph"/>
              <w:numPr>
                <w:ilvl w:val="0"/>
                <w:numId w:val="10"/>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881FDE">
              <w:rPr>
                <w:sz w:val="20"/>
                <w:szCs w:val="20"/>
                <w:lang w:val="en-GB"/>
              </w:rPr>
              <w:t xml:space="preserve">Preparation of final inventory in line with EC comments from March 2024 – fulfilled. </w:t>
            </w:r>
            <w:r w:rsidR="005E5ACD" w:rsidRPr="00881FDE">
              <w:rPr>
                <w:sz w:val="20"/>
                <w:szCs w:val="20"/>
                <w:lang w:val="en-GB"/>
              </w:rPr>
              <w:t>The assessment</w:t>
            </w:r>
            <w:r w:rsidR="00F76152" w:rsidRPr="00881FDE">
              <w:rPr>
                <w:sz w:val="20"/>
                <w:szCs w:val="20"/>
                <w:lang w:val="en-GB"/>
              </w:rPr>
              <w:t xml:space="preserve"> confirms that</w:t>
            </w:r>
            <w:r w:rsidR="00A77C7C" w:rsidRPr="00881FDE">
              <w:rPr>
                <w:sz w:val="20"/>
                <w:szCs w:val="20"/>
                <w:lang w:val="en-GB"/>
              </w:rPr>
              <w:t xml:space="preserve"> Serbia submitted draft version of </w:t>
            </w:r>
            <w:r w:rsidR="00256AFE" w:rsidRPr="00881FDE">
              <w:rPr>
                <w:sz w:val="20"/>
                <w:szCs w:val="20"/>
                <w:lang w:val="en-GB"/>
              </w:rPr>
              <w:t xml:space="preserve">the inventory </w:t>
            </w:r>
            <w:r w:rsidR="008163AD" w:rsidRPr="00881FDE">
              <w:rPr>
                <w:sz w:val="20"/>
                <w:szCs w:val="20"/>
                <w:lang w:val="en-GB"/>
              </w:rPr>
              <w:t xml:space="preserve">as part of the first </w:t>
            </w:r>
            <w:r w:rsidR="00101FFD" w:rsidRPr="00881FDE">
              <w:rPr>
                <w:sz w:val="20"/>
                <w:szCs w:val="20"/>
                <w:lang w:val="en-GB"/>
              </w:rPr>
              <w:t>RGF assessment</w:t>
            </w:r>
            <w:r w:rsidR="002F4977" w:rsidRPr="00881FDE">
              <w:rPr>
                <w:sz w:val="20"/>
                <w:szCs w:val="20"/>
                <w:lang w:val="en-GB"/>
              </w:rPr>
              <w:t xml:space="preserve">. </w:t>
            </w:r>
            <w:r w:rsidR="00101FFD" w:rsidRPr="00881FDE">
              <w:rPr>
                <w:sz w:val="20"/>
                <w:szCs w:val="20"/>
                <w:lang w:val="en-GB"/>
              </w:rPr>
              <w:t xml:space="preserve"> </w:t>
            </w:r>
            <w:r w:rsidRPr="00881FDE">
              <w:rPr>
                <w:sz w:val="20"/>
                <w:szCs w:val="20"/>
                <w:lang w:val="en-GB"/>
              </w:rPr>
              <w:t xml:space="preserve">This is indicated in the </w:t>
            </w:r>
            <w:hyperlink r:id="rId8" w:history="1">
              <w:r w:rsidRPr="00881FDE">
                <w:rPr>
                  <w:rStyle w:val="Hyperlink"/>
                  <w:sz w:val="20"/>
                  <w:szCs w:val="20"/>
                </w:rPr>
                <w:t>Commission Implementing Decision of 12 January 2026 Annex</w:t>
              </w:r>
            </w:hyperlink>
            <w:r>
              <w:t xml:space="preserve">. </w:t>
            </w:r>
            <w:r w:rsidRPr="00881FDE">
              <w:rPr>
                <w:sz w:val="20"/>
                <w:szCs w:val="20"/>
                <w:lang w:val="en-GB"/>
              </w:rPr>
              <w:t xml:space="preserve"> </w:t>
            </w:r>
          </w:p>
          <w:p w14:paraId="5C0E65CC" w14:textId="44E07A53" w:rsidR="00881FDE" w:rsidRDefault="00881FDE" w:rsidP="00885C4B">
            <w:pPr>
              <w:pStyle w:val="ListParagraph"/>
              <w:numPr>
                <w:ilvl w:val="0"/>
                <w:numId w:val="10"/>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81FDE">
              <w:rPr>
                <w:sz w:val="20"/>
                <w:szCs w:val="20"/>
                <w:lang w:val="en-GB"/>
              </w:rPr>
              <w:t xml:space="preserve">Adoption </w:t>
            </w:r>
            <w:r w:rsidRPr="00881FDE">
              <w:rPr>
                <w:sz w:val="20"/>
                <w:szCs w:val="20"/>
              </w:rPr>
              <w:t xml:space="preserve">of final inventory by the Government in line with EC comments from March 2024 – not fulfilled. The Government Annual Report on implementation of the Reform and Growth facility (further in the text: Government 2025 Annual Report) indicates that coordination with the European Commission (EC) took place in May and June 2025 to finalize the text, the </w:t>
            </w:r>
            <w:hyperlink r:id="rId9" w:history="1">
              <w:r w:rsidRPr="00881FDE">
                <w:rPr>
                  <w:rStyle w:val="Hyperlink"/>
                  <w:sz w:val="20"/>
                  <w:szCs w:val="20"/>
                </w:rPr>
                <w:t>Commission Implementing Decision of 12 January 2026 Annex</w:t>
              </w:r>
            </w:hyperlink>
            <w:r w:rsidRPr="00881FDE">
              <w:rPr>
                <w:sz w:val="20"/>
                <w:szCs w:val="20"/>
              </w:rPr>
              <w:t xml:space="preserve"> explicitly states that as of the first payment request, "some comments by the European Commission from March 2024 were yet to be addressed. </w:t>
            </w:r>
            <w:r w:rsidR="00885C4B" w:rsidRPr="00885C4B">
              <w:rPr>
                <w:sz w:val="20"/>
                <w:szCs w:val="20"/>
              </w:rPr>
              <w:t xml:space="preserve">Although Serbian authorities cite working-level correspondence (email dated 10 July 2025) as the basis for the formal adoption of the Inventory, </w:t>
            </w:r>
            <w:r>
              <w:rPr>
                <w:sz w:val="20"/>
                <w:szCs w:val="20"/>
              </w:rPr>
              <w:t xml:space="preserve">there is not publicly available Government conclusion. </w:t>
            </w:r>
          </w:p>
          <w:p w14:paraId="79694FE6" w14:textId="56345603" w:rsidR="00726821" w:rsidRPr="00885C4B" w:rsidRDefault="00881FDE" w:rsidP="00885C4B">
            <w:pPr>
              <w:pStyle w:val="ListParagraph"/>
              <w:numPr>
                <w:ilvl w:val="0"/>
                <w:numId w:val="10"/>
              </w:num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M</w:t>
            </w:r>
            <w:r w:rsidR="00885C4B" w:rsidRPr="00885C4B">
              <w:rPr>
                <w:sz w:val="20"/>
                <w:szCs w:val="20"/>
              </w:rPr>
              <w:t>ilestone</w:t>
            </w:r>
            <w:r>
              <w:rPr>
                <w:sz w:val="20"/>
                <w:szCs w:val="20"/>
              </w:rPr>
              <w:t xml:space="preserve"> </w:t>
            </w:r>
            <w:r>
              <w:rPr>
                <w:sz w:val="20"/>
                <w:szCs w:val="20"/>
                <w:lang w:val="en-GB"/>
              </w:rPr>
              <w:t>publishing and public availability of adopted document</w:t>
            </w:r>
            <w:r w:rsidR="00885C4B" w:rsidRPr="00885C4B">
              <w:rPr>
                <w:sz w:val="20"/>
                <w:szCs w:val="20"/>
              </w:rPr>
              <w:t xml:space="preserve"> remains unfulfilled. There is no evidence of the Inventory being published on the official website of the Commission for State Aid Control (CSAC) or the Ministry of Finance. The lack of public access prevents any independent verification of whether the 2024 EC comments were integrated in the second half of </w:t>
            </w:r>
            <w:r w:rsidRPr="00885C4B">
              <w:rPr>
                <w:sz w:val="20"/>
                <w:szCs w:val="20"/>
              </w:rPr>
              <w:t>202</w:t>
            </w:r>
            <w:r>
              <w:rPr>
                <w:sz w:val="20"/>
                <w:szCs w:val="20"/>
              </w:rPr>
              <w:t>5</w:t>
            </w:r>
            <w:r w:rsidR="00885C4B" w:rsidRPr="00885C4B">
              <w:rPr>
                <w:sz w:val="20"/>
                <w:szCs w:val="20"/>
              </w:rPr>
              <w:t xml:space="preserve">. As noted in the assessment, the absence of the document on </w:t>
            </w:r>
            <w:hyperlink r:id="rId10" w:history="1">
              <w:r w:rsidR="00885C4B" w:rsidRPr="00885C4B">
                <w:rPr>
                  <w:rStyle w:val="Hyperlink"/>
                  <w:sz w:val="20"/>
                  <w:szCs w:val="20"/>
                </w:rPr>
                <w:t>https://kkdp.gov.rs/</w:t>
              </w:r>
            </w:hyperlink>
            <w:r w:rsidR="00885C4B" w:rsidRPr="00885C4B">
              <w:rPr>
                <w:sz w:val="20"/>
                <w:szCs w:val="20"/>
              </w:rPr>
              <w:t xml:space="preserve"> confirms that the process remains internal, failing the RGF principle of transparency. </w:t>
            </w:r>
            <w:r w:rsidR="00726821" w:rsidRPr="00885C4B">
              <w:rPr>
                <w:sz w:val="20"/>
                <w:szCs w:val="20"/>
                <w:lang w:val="en-GB"/>
              </w:rPr>
              <w:t xml:space="preserve"> </w:t>
            </w:r>
          </w:p>
        </w:tc>
      </w:tr>
      <w:tr w:rsidR="00FB2868" w:rsidRPr="002C702E"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t>Key issues in implementation</w:t>
            </w:r>
          </w:p>
        </w:tc>
        <w:tc>
          <w:tcPr>
            <w:tcW w:w="6753" w:type="dxa"/>
          </w:tcPr>
          <w:p w14:paraId="23D38C9F" w14:textId="77777777" w:rsidR="007B2421" w:rsidRPr="002C702E" w:rsidRDefault="007B2421" w:rsidP="007B2421">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List and briefly explain key problems/issues arising in the reform step implementation. This can follow the milestone structure, but depending on the reform step, it can also be an analysis for the whole step. Please provide references wherever possible.</w:t>
            </w:r>
          </w:p>
          <w:p w14:paraId="7AE5BC2C" w14:textId="0F8ABCE6" w:rsidR="007173DF" w:rsidRPr="00885C4B" w:rsidRDefault="007173DF" w:rsidP="001E618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7173DF">
              <w:rPr>
                <w:b/>
                <w:bCs/>
                <w:sz w:val="20"/>
                <w:szCs w:val="20"/>
              </w:rPr>
              <w:t>Discrepancy between Official Reporting and Regulatory Assessment</w:t>
            </w:r>
            <w:r>
              <w:rPr>
                <w:b/>
                <w:bCs/>
                <w:sz w:val="20"/>
                <w:szCs w:val="20"/>
              </w:rPr>
              <w:t xml:space="preserve"> </w:t>
            </w:r>
            <w:r w:rsidRPr="007173DF">
              <w:rPr>
                <w:sz w:val="20"/>
                <w:szCs w:val="20"/>
              </w:rPr>
              <w:t xml:space="preserve">- </w:t>
            </w:r>
            <w:r w:rsidR="001E618B" w:rsidRPr="001E618B">
              <w:rPr>
                <w:sz w:val="20"/>
                <w:szCs w:val="20"/>
              </w:rPr>
              <w:t xml:space="preserve">There is a notable divergence between the national reporting and the formal EU regulatory assessment regarding the "finality" of the State Aid Inventory. While the </w:t>
            </w:r>
            <w:r w:rsidR="00881FDE">
              <w:rPr>
                <w:sz w:val="20"/>
                <w:szCs w:val="20"/>
              </w:rPr>
              <w:t>Government</w:t>
            </w:r>
            <w:r w:rsidR="00881FDE" w:rsidRPr="001E618B">
              <w:rPr>
                <w:sz w:val="20"/>
                <w:szCs w:val="20"/>
              </w:rPr>
              <w:t xml:space="preserve"> </w:t>
            </w:r>
            <w:r w:rsidR="001E618B" w:rsidRPr="001E618B">
              <w:rPr>
                <w:sz w:val="20"/>
                <w:szCs w:val="20"/>
              </w:rPr>
              <w:t>2025 Annual Report claims the document was finalized through working-level coordination and formally adopted in July 2025, the EC Implementing Decision (C/2026/18) of January 2026 explicitly identifies outstanding comments from March 2024.</w:t>
            </w:r>
            <w:r w:rsidR="001E618B">
              <w:rPr>
                <w:sz w:val="20"/>
                <w:szCs w:val="20"/>
              </w:rPr>
              <w:t xml:space="preserve"> </w:t>
            </w:r>
            <w:r w:rsidR="001E618B" w:rsidRPr="001E618B">
              <w:rPr>
                <w:sz w:val="20"/>
                <w:szCs w:val="20"/>
              </w:rPr>
              <w:t>This creates a significant issue regarding the reliability of information available to the public and stakeholders. The transition to drafting the Action Plan</w:t>
            </w:r>
            <w:r w:rsidR="001E618B">
              <w:rPr>
                <w:sz w:val="20"/>
                <w:szCs w:val="20"/>
              </w:rPr>
              <w:t xml:space="preserve">, </w:t>
            </w:r>
            <w:r w:rsidR="001E618B" w:rsidRPr="001E618B">
              <w:rPr>
                <w:sz w:val="20"/>
                <w:szCs w:val="20"/>
              </w:rPr>
              <w:t>while a logical next step</w:t>
            </w:r>
            <w:r w:rsidR="001E618B">
              <w:rPr>
                <w:sz w:val="20"/>
                <w:szCs w:val="20"/>
              </w:rPr>
              <w:t xml:space="preserve">, </w:t>
            </w:r>
            <w:r w:rsidR="001E618B" w:rsidRPr="001E618B">
              <w:rPr>
                <w:sz w:val="20"/>
                <w:szCs w:val="20"/>
              </w:rPr>
              <w:t>further obscures the fact that the foundational Inventory did not meet the formal EU qualitative standards required for the First Payment Request (period ending 30 June 2025).</w:t>
            </w:r>
            <w:r w:rsidR="001E618B">
              <w:rPr>
                <w:sz w:val="20"/>
                <w:szCs w:val="20"/>
              </w:rPr>
              <w:t xml:space="preserve"> </w:t>
            </w:r>
            <w:r w:rsidR="001E618B" w:rsidRPr="001E618B">
              <w:rPr>
                <w:sz w:val="20"/>
                <w:szCs w:val="20"/>
              </w:rPr>
              <w:t>It must be noted, however, that the full extent of this discrepancy may only be clarified in subsequent reporting cycles. Until such official confirmation is issued for those later periods, the current 'Not Achieved' status remains the only verified position for the initial RGF reporting cycle.</w:t>
            </w:r>
          </w:p>
          <w:p w14:paraId="7109F4B6" w14:textId="19A6ECCA" w:rsidR="00FB0049" w:rsidRPr="00FB0049" w:rsidRDefault="008A19A6" w:rsidP="00FB004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A19A6">
              <w:rPr>
                <w:b/>
                <w:bCs/>
                <w:sz w:val="20"/>
                <w:szCs w:val="20"/>
              </w:rPr>
              <w:t>Limited transparency of the process</w:t>
            </w:r>
            <w:r>
              <w:rPr>
                <w:sz w:val="20"/>
                <w:szCs w:val="20"/>
                <w:lang w:val="en-GB"/>
              </w:rPr>
              <w:t xml:space="preserve"> - </w:t>
            </w:r>
            <w:r w:rsidR="00A234DB">
              <w:rPr>
                <w:sz w:val="20"/>
                <w:szCs w:val="20"/>
              </w:rPr>
              <w:t>w</w:t>
            </w:r>
            <w:r w:rsidR="00A234DB" w:rsidRPr="008A19A6">
              <w:rPr>
                <w:sz w:val="20"/>
                <w:szCs w:val="20"/>
              </w:rPr>
              <w:t xml:space="preserve">hile the inventory may not formally qualify as a public policy document requiring mandatory public consultation, the absence of publicly accessible drafts, or </w:t>
            </w:r>
            <w:r w:rsidR="00A234DB">
              <w:rPr>
                <w:sz w:val="20"/>
                <w:szCs w:val="20"/>
              </w:rPr>
              <w:t xml:space="preserve">information on </w:t>
            </w:r>
            <w:r w:rsidR="00A234DB" w:rsidRPr="008A19A6">
              <w:rPr>
                <w:sz w:val="20"/>
                <w:szCs w:val="20"/>
              </w:rPr>
              <w:t xml:space="preserve">progress updates </w:t>
            </w:r>
            <w:r w:rsidR="00A234DB" w:rsidRPr="008A19A6">
              <w:rPr>
                <w:sz w:val="20"/>
                <w:szCs w:val="20"/>
              </w:rPr>
              <w:lastRenderedPageBreak/>
              <w:t xml:space="preserve">limit transparency. </w:t>
            </w:r>
            <w:r w:rsidR="00FB0049">
              <w:rPr>
                <w:rFonts w:ascii="Segoe UI" w:eastAsia="Times New Roman" w:hAnsi="Segoe UI" w:cs="Segoe UI"/>
                <w:kern w:val="0"/>
                <w:sz w:val="18"/>
                <w:szCs w:val="18"/>
                <w14:ligatures w14:val="none"/>
              </w:rPr>
              <w:t>T</w:t>
            </w:r>
            <w:r w:rsidR="00FB0049" w:rsidRPr="00FB0049">
              <w:rPr>
                <w:sz w:val="20"/>
                <w:szCs w:val="20"/>
              </w:rPr>
              <w:t xml:space="preserve">here is no public documentation clarifying which of the Commission’s comments from March 2024 remain unaddressed, nor is there a public justification for the decision to adopt the document nationally if it did not yet satisfy the RGF qualitative standards for the First Payment Request (period ending 30 June 2025). While the ongoing evaluation of the Second and Third Payment Requests may eventually provide clarity on the status of the July 2025 adoption, the current lack of public access to the document on official platforms prevents any independent verification of compliance. Until the Inventory is published or a subsequent EC Decision confirms its finality for the later reporting cycles, the process remains internal and falls short of the RGF’s proactive transparency principles. </w:t>
            </w:r>
          </w:p>
          <w:p w14:paraId="00F2A4CE" w14:textId="603B005A" w:rsidR="00C1028D" w:rsidRPr="00C1028D" w:rsidRDefault="00127F47" w:rsidP="00C1028D">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GB"/>
              </w:rPr>
              <w:t xml:space="preserve">In line with this, another issue is </w:t>
            </w:r>
            <w:r w:rsidR="00A234DB" w:rsidRPr="00A234DB">
              <w:rPr>
                <w:b/>
                <w:bCs/>
                <w:sz w:val="20"/>
                <w:szCs w:val="20"/>
                <w:lang w:val="en-GB"/>
              </w:rPr>
              <w:t>absence of stakeholder involvement</w:t>
            </w:r>
            <w:r w:rsidR="004740F7">
              <w:rPr>
                <w:b/>
                <w:bCs/>
                <w:sz w:val="20"/>
                <w:szCs w:val="20"/>
                <w:lang w:val="en-GB"/>
              </w:rPr>
              <w:t>.</w:t>
            </w:r>
            <w:r>
              <w:rPr>
                <w:sz w:val="20"/>
                <w:szCs w:val="20"/>
                <w:lang w:val="en-GB"/>
              </w:rPr>
              <w:t xml:space="preserve"> </w:t>
            </w:r>
            <w:r w:rsidR="00C1028D" w:rsidRPr="00C1028D">
              <w:rPr>
                <w:sz w:val="20"/>
                <w:szCs w:val="20"/>
              </w:rPr>
              <w:t>Despite the significant implications of the State Aid Inventory for the business environment and fair competition, there remains no verifiable evidence of involvement from civil society organizations, economic operators, or independent experts within the first reporting cycle. The consultations cited in</w:t>
            </w:r>
            <w:r w:rsidR="00C2126C">
              <w:rPr>
                <w:sz w:val="20"/>
                <w:szCs w:val="20"/>
              </w:rPr>
              <w:t xml:space="preserve"> 2025 Government Annual Report</w:t>
            </w:r>
            <w:r w:rsidR="00C1028D" w:rsidRPr="00C1028D">
              <w:rPr>
                <w:sz w:val="20"/>
                <w:szCs w:val="20"/>
              </w:rPr>
              <w:t xml:space="preserve"> appear to be restricted to internal inter-institutional exchanges</w:t>
            </w:r>
            <w:r w:rsidR="00C2126C">
              <w:rPr>
                <w:sz w:val="20"/>
                <w:szCs w:val="20"/>
              </w:rPr>
              <w:t xml:space="preserve"> i.e. involving only relevant competent institutions</w:t>
            </w:r>
            <w:r w:rsidR="00C1028D" w:rsidRPr="00C1028D">
              <w:rPr>
                <w:sz w:val="20"/>
                <w:szCs w:val="20"/>
              </w:rPr>
              <w:t>.</w:t>
            </w:r>
            <w:r w:rsidR="00C1028D">
              <w:rPr>
                <w:sz w:val="20"/>
                <w:szCs w:val="20"/>
              </w:rPr>
              <w:t xml:space="preserve"> </w:t>
            </w:r>
            <w:r w:rsidR="00C1028D" w:rsidRPr="00C1028D">
              <w:rPr>
                <w:sz w:val="20"/>
                <w:szCs w:val="20"/>
              </w:rPr>
              <w:t xml:space="preserve">This exclusion forces external monitors to rely solely on desk research of secondary documents, </w:t>
            </w:r>
          </w:p>
          <w:p w14:paraId="5160661D" w14:textId="22DD6498" w:rsidR="008A19A6" w:rsidRPr="008A19A6" w:rsidRDefault="008A19A6" w:rsidP="007B215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A19A6">
              <w:rPr>
                <w:b/>
                <w:bCs/>
                <w:sz w:val="20"/>
                <w:szCs w:val="20"/>
              </w:rPr>
              <w:t>Insufficient public communication on next steps</w:t>
            </w:r>
            <w:r w:rsidR="007B215B" w:rsidRPr="007B215B">
              <w:rPr>
                <w:sz w:val="20"/>
                <w:szCs w:val="20"/>
              </w:rPr>
              <w:t xml:space="preserve"> </w:t>
            </w:r>
            <w:r w:rsidR="007173DF">
              <w:rPr>
                <w:sz w:val="20"/>
                <w:szCs w:val="20"/>
              </w:rPr>
              <w:t xml:space="preserve">(ambiguity regarding the “grace period” Roadmap) </w:t>
            </w:r>
            <w:r w:rsidR="007B215B" w:rsidRPr="007B215B">
              <w:rPr>
                <w:sz w:val="20"/>
                <w:szCs w:val="20"/>
              </w:rPr>
              <w:t>- a</w:t>
            </w:r>
            <w:r w:rsidRPr="007B215B">
              <w:rPr>
                <w:sz w:val="20"/>
                <w:szCs w:val="20"/>
              </w:rPr>
              <w:t>lthough</w:t>
            </w:r>
            <w:r w:rsidRPr="008A19A6">
              <w:rPr>
                <w:sz w:val="20"/>
                <w:szCs w:val="20"/>
              </w:rPr>
              <w:t xml:space="preserve"> a grace period until 31 December 2026 exists for completion of the step, there is no publicly available </w:t>
            </w:r>
            <w:r w:rsidR="00402312">
              <w:rPr>
                <w:sz w:val="20"/>
                <w:szCs w:val="20"/>
              </w:rPr>
              <w:t>information or</w:t>
            </w:r>
            <w:r w:rsidRPr="008A19A6">
              <w:rPr>
                <w:sz w:val="20"/>
                <w:szCs w:val="20"/>
              </w:rPr>
              <w:t xml:space="preserve"> roadmap outlining how and when the outstanding requirements will be addressed.</w:t>
            </w:r>
            <w:r w:rsidR="007173DF">
              <w:rPr>
                <w:sz w:val="20"/>
                <w:szCs w:val="20"/>
              </w:rPr>
              <w:t xml:space="preserve"> </w:t>
            </w:r>
            <w:r w:rsidR="007173DF" w:rsidRPr="007173DF">
              <w:rPr>
                <w:sz w:val="20"/>
                <w:szCs w:val="20"/>
              </w:rPr>
              <w:t>This lack of a "bridge" between the current version of the Inventory and the required final version creates a vacuum in public communication, making it impossible for the business community to anticipate future changes in the state aid framework.</w:t>
            </w:r>
          </w:p>
          <w:p w14:paraId="12294BFD" w14:textId="6826194F" w:rsidR="008A19A6" w:rsidRPr="00402312" w:rsidRDefault="008A19A6" w:rsidP="00402312">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A19A6">
              <w:rPr>
                <w:b/>
                <w:bCs/>
                <w:sz w:val="20"/>
                <w:szCs w:val="20"/>
              </w:rPr>
              <w:t>Implications for alignment under Chapter 8 (Competition Policy)</w:t>
            </w:r>
            <w:r w:rsidR="00402312">
              <w:rPr>
                <w:b/>
                <w:bCs/>
                <w:sz w:val="20"/>
                <w:szCs w:val="20"/>
              </w:rPr>
              <w:t xml:space="preserve"> - </w:t>
            </w:r>
            <w:r w:rsidR="00402312" w:rsidRPr="00402312">
              <w:rPr>
                <w:sz w:val="20"/>
                <w:szCs w:val="20"/>
              </w:rPr>
              <w:t>g</w:t>
            </w:r>
            <w:r w:rsidRPr="008A19A6">
              <w:rPr>
                <w:sz w:val="20"/>
                <w:szCs w:val="20"/>
              </w:rPr>
              <w:t>iven that the completeness and accuracy of the State Aid inventory is a core element of EU state aid control alignment</w:t>
            </w:r>
            <w:r w:rsidR="00C2126C">
              <w:rPr>
                <w:sz w:val="20"/>
                <w:szCs w:val="20"/>
              </w:rPr>
              <w:t xml:space="preserve"> i.e. opening benchmark for the chapter</w:t>
            </w:r>
            <w:r w:rsidRPr="008A19A6">
              <w:rPr>
                <w:sz w:val="20"/>
                <w:szCs w:val="20"/>
              </w:rPr>
              <w:t>, delays and limited transparency may affect the credibility and track record required in the accession process.</w:t>
            </w:r>
          </w:p>
        </w:tc>
      </w:tr>
      <w:tr w:rsidR="00FB2868" w:rsidRPr="002C702E"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w:t>
            </w:r>
            <w:r>
              <w:rPr>
                <w:rFonts w:ascii="Aptos" w:eastAsia="Times New Roman" w:hAnsi="Aptos" w:cs="Times New Roman"/>
                <w:kern w:val="0"/>
                <w:sz w:val="20"/>
                <w:szCs w:val="20"/>
                <w:lang w:val="en-GB" w:eastAsia="en-GB"/>
                <w14:ligatures w14:val="none"/>
              </w:rPr>
              <w:t xml:space="preserve"> how key principles of RGF were respected in the reform step</w:t>
            </w:r>
            <w:r w:rsidRPr="002C702E">
              <w:rPr>
                <w:rFonts w:ascii="Aptos" w:eastAsia="Times New Roman" w:hAnsi="Aptos" w:cs="Times New Roman"/>
                <w:kern w:val="0"/>
                <w:sz w:val="20"/>
                <w:szCs w:val="20"/>
                <w:lang w:val="en-GB" w:eastAsia="en-GB"/>
                <w14:ligatures w14:val="none"/>
              </w:rPr>
              <w:t xml:space="preserve"> implementation</w:t>
            </w:r>
          </w:p>
        </w:tc>
        <w:tc>
          <w:tcPr>
            <w:tcW w:w="6753" w:type="dxa"/>
          </w:tcPr>
          <w:p w14:paraId="1EF82CFF" w14:textId="77777777" w:rsidR="00600E02" w:rsidRDefault="00600E02" w:rsidP="00600E02">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How transparent has the reform step implementation been? How has civil society and the wider public been informed about it? What data and information, including key documents, have been made publicly available?</w:t>
            </w:r>
            <w:r>
              <w:rPr>
                <w:i/>
                <w:iCs/>
                <w:sz w:val="20"/>
                <w:szCs w:val="20"/>
                <w:lang w:val="en-GB"/>
              </w:rPr>
              <w:t xml:space="preserve"> </w:t>
            </w:r>
          </w:p>
          <w:p w14:paraId="31E2FD91" w14:textId="77777777" w:rsidR="00600E02" w:rsidRDefault="00600E02" w:rsidP="00600E02">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Pr>
                <w:i/>
                <w:iCs/>
                <w:sz w:val="20"/>
                <w:szCs w:val="20"/>
                <w:lang w:val="en-GB"/>
              </w:rPr>
              <w:t>How inclusive was the implementation process? Has</w:t>
            </w:r>
            <w:r w:rsidRPr="002C702E">
              <w:rPr>
                <w:i/>
                <w:iCs/>
                <w:sz w:val="20"/>
                <w:szCs w:val="20"/>
                <w:lang w:val="en-GB"/>
              </w:rPr>
              <w:t xml:space="preserve"> the implementation of the reform step allowed for participation of interested stakeholders, especially civil society organisations and – where applicable – business community? How was such participation ensured? What were the issues regarding their participation, if any? </w:t>
            </w:r>
          </w:p>
          <w:p w14:paraId="6C266FBA" w14:textId="77777777" w:rsidR="00600E02" w:rsidRPr="002C702E" w:rsidRDefault="00600E02" w:rsidP="00600E02">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Depending on the reform step, provide an analysis of how other key RGF principles – apart from transparency and inclusivity analysed above – were respected in its implementation, as applicable: sound financial management, equal treatment, non-discrimination and proportionality for intended purpose. </w:t>
            </w:r>
          </w:p>
          <w:p w14:paraId="19991A6C" w14:textId="77777777" w:rsidR="00600E02" w:rsidRDefault="00600E02" w:rsidP="00600E02">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Please provide references wherever possible.</w:t>
            </w:r>
          </w:p>
          <w:p w14:paraId="140E09DF" w14:textId="71530165"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Transparency</w:t>
            </w:r>
          </w:p>
          <w:p w14:paraId="79B269AC" w14:textId="30EA1A95" w:rsidR="00020A81" w:rsidRPr="00020A81"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20A81">
              <w:rPr>
                <w:sz w:val="20"/>
                <w:szCs w:val="20"/>
                <w:lang w:val="en-GB"/>
              </w:rPr>
              <w:t xml:space="preserve">The transparency of this reform step </w:t>
            </w:r>
            <w:r w:rsidR="002E16F9">
              <w:rPr>
                <w:sz w:val="20"/>
                <w:szCs w:val="20"/>
                <w:lang w:val="en-GB"/>
              </w:rPr>
              <w:t>is questionable</w:t>
            </w:r>
            <w:r w:rsidRPr="00020A81">
              <w:rPr>
                <w:sz w:val="20"/>
                <w:szCs w:val="20"/>
                <w:lang w:val="en-GB"/>
              </w:rPr>
              <w:t xml:space="preserve"> due to a procedural and informational gap between national reporting and formal EU verification.</w:t>
            </w:r>
            <w:r w:rsidR="002E16F9">
              <w:rPr>
                <w:sz w:val="20"/>
                <w:szCs w:val="20"/>
                <w:lang w:val="en-GB"/>
              </w:rPr>
              <w:t xml:space="preserve"> </w:t>
            </w:r>
          </w:p>
          <w:p w14:paraId="5665833C" w14:textId="52896ECF" w:rsidR="00020A81" w:rsidRPr="00020A81"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20A81">
              <w:rPr>
                <w:sz w:val="20"/>
                <w:szCs w:val="20"/>
                <w:lang w:val="en-GB"/>
              </w:rPr>
              <w:lastRenderedPageBreak/>
              <w:t xml:space="preserve">Public Availability: As of the current assessment, the adopted Inventory has not been published on the official </w:t>
            </w:r>
            <w:r w:rsidR="00C2126C">
              <w:rPr>
                <w:sz w:val="20"/>
                <w:szCs w:val="20"/>
                <w:lang w:val="en-GB"/>
              </w:rPr>
              <w:t>web sites</w:t>
            </w:r>
            <w:r w:rsidR="00C2126C" w:rsidRPr="00020A81">
              <w:rPr>
                <w:sz w:val="20"/>
                <w:szCs w:val="20"/>
                <w:lang w:val="en-GB"/>
              </w:rPr>
              <w:t xml:space="preserve"> </w:t>
            </w:r>
            <w:r w:rsidRPr="00020A81">
              <w:rPr>
                <w:sz w:val="20"/>
                <w:szCs w:val="20"/>
                <w:lang w:val="en-GB"/>
              </w:rPr>
              <w:t>of the Commission for State Aid Control (CSAC) or the Ministry of Finance. This lack of proactive disclosure prevents any independent verification of the document’s content or its alignment with EU standards.</w:t>
            </w:r>
          </w:p>
          <w:p w14:paraId="34665504" w14:textId="7D6CED89" w:rsidR="00020A81" w:rsidRPr="00020A81"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20A81">
              <w:rPr>
                <w:sz w:val="20"/>
                <w:szCs w:val="20"/>
                <w:lang w:val="en-GB"/>
              </w:rPr>
              <w:t>Information Reliability and Procedural Discrepancy: A critical transparency issue arises from the divergence between national claims</w:t>
            </w:r>
            <w:r w:rsidR="00C2126C">
              <w:rPr>
                <w:sz w:val="20"/>
                <w:szCs w:val="20"/>
                <w:lang w:val="en-GB"/>
              </w:rPr>
              <w:t xml:space="preserve"> in 2025 Government Annual Report</w:t>
            </w:r>
            <w:r w:rsidRPr="00020A81">
              <w:rPr>
                <w:sz w:val="20"/>
                <w:szCs w:val="20"/>
                <w:lang w:val="en-GB"/>
              </w:rPr>
              <w:t xml:space="preserve"> and the EC Implementing Decision (C/2026/18) of 12 January 2026. While the </w:t>
            </w:r>
            <w:r w:rsidR="00C2126C">
              <w:rPr>
                <w:sz w:val="20"/>
                <w:szCs w:val="20"/>
                <w:lang w:val="en-GB"/>
              </w:rPr>
              <w:t>Government</w:t>
            </w:r>
            <w:r w:rsidR="00C2126C" w:rsidRPr="00020A81">
              <w:rPr>
                <w:sz w:val="20"/>
                <w:szCs w:val="20"/>
                <w:lang w:val="en-GB"/>
              </w:rPr>
              <w:t xml:space="preserve"> </w:t>
            </w:r>
            <w:r w:rsidRPr="00020A81">
              <w:rPr>
                <w:sz w:val="20"/>
                <w:szCs w:val="20"/>
                <w:lang w:val="en-GB"/>
              </w:rPr>
              <w:t>2025 Annual Report asserts that the Inventory was finalized via email and adopted on 10 July 2025, the formal EU Decision explicitly states that comments from March 2024 remained unaddressed for the purposes of the First Payment Request (period ending 30 June 2025).</w:t>
            </w:r>
          </w:p>
          <w:p w14:paraId="78083946" w14:textId="4C545D6C" w:rsidR="00CE57F3"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020A81">
              <w:rPr>
                <w:sz w:val="20"/>
                <w:szCs w:val="20"/>
                <w:lang w:val="en-GB"/>
              </w:rPr>
              <w:t>Lack of Progress Updates: Without access to the actual document or the "roadmap" for the newly granted grace period (until December 2026), the wider public and economic operators remain uninformed about the actual degree of alignment. While the ongoing evaluation of the Second and Third Payment Requests may eventually clarify the status of the July 2025 adoption, the current "ex-post" reporting style obscures the reform's real-time progress.</w:t>
            </w:r>
          </w:p>
          <w:p w14:paraId="1DA4E276" w14:textId="5F37BADA" w:rsidR="00FB2868" w:rsidRPr="00FB2868"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FB2868">
              <w:rPr>
                <w:b/>
                <w:bCs/>
                <w:sz w:val="20"/>
                <w:szCs w:val="20"/>
                <w:lang w:val="en-GB"/>
              </w:rPr>
              <w:t>Inclusivity</w:t>
            </w:r>
          </w:p>
          <w:p w14:paraId="5D013561" w14:textId="77777777" w:rsidR="00020A81" w:rsidRPr="00020A81"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20A81">
              <w:rPr>
                <w:sz w:val="20"/>
                <w:szCs w:val="20"/>
                <w:lang w:val="en-GB"/>
              </w:rPr>
              <w:t>The implementation process has failed to meet the principle of inclusivity, remaining restricted to narrow inter-institutional coordination within the initial reporting cycle.</w:t>
            </w:r>
          </w:p>
          <w:p w14:paraId="7BF04C1B" w14:textId="77777777" w:rsidR="00020A81" w:rsidRPr="00020A81"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20A81">
              <w:rPr>
                <w:sz w:val="20"/>
                <w:szCs w:val="20"/>
                <w:lang w:val="en-GB"/>
              </w:rPr>
              <w:t>Stakeholder Exclusion: Although the Inventory is a foundational document for the business environment, there is no verifiable evidence of involvement from civil society organizations, academic experts, or the business community. The "broad consultations" mentioned in national reports appear to be limited to internal exchanges between relevant state institutions, effectively silencing external stakeholders.</w:t>
            </w:r>
          </w:p>
          <w:p w14:paraId="602536FF" w14:textId="77777777" w:rsidR="00020A81" w:rsidRPr="00020A81"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020A81">
              <w:rPr>
                <w:sz w:val="20"/>
                <w:szCs w:val="20"/>
                <w:lang w:val="en-GB"/>
              </w:rPr>
              <w:t>Method of Participation: Participation has been strictly horizontal (inter-governmental), excluding vertical consultation with those directly impacted by state aid schemes.</w:t>
            </w:r>
          </w:p>
          <w:p w14:paraId="7DBFAF42" w14:textId="4BDEC56A" w:rsidR="00FD4918" w:rsidRDefault="00020A81" w:rsidP="002E16F9">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020A81">
              <w:rPr>
                <w:sz w:val="20"/>
                <w:szCs w:val="20"/>
                <w:lang w:val="en-GB"/>
              </w:rPr>
              <w:t xml:space="preserve">Barriers to Participation: The primary barrier to inclusivity is the closed nature of the drafting process. By the time stakeholders learn of the Inventory's status through </w:t>
            </w:r>
            <w:r w:rsidR="004C2BF7">
              <w:rPr>
                <w:sz w:val="20"/>
                <w:szCs w:val="20"/>
                <w:lang w:val="en-GB"/>
              </w:rPr>
              <w:t>the Government 2025</w:t>
            </w:r>
            <w:r w:rsidRPr="00020A81">
              <w:rPr>
                <w:sz w:val="20"/>
                <w:szCs w:val="20"/>
                <w:lang w:val="en-GB"/>
              </w:rPr>
              <w:t xml:space="preserve"> annual report or subsequent EC Decisions, key alignments have already been concluded. </w:t>
            </w:r>
            <w:r w:rsidR="004C2BF7">
              <w:rPr>
                <w:sz w:val="20"/>
                <w:szCs w:val="20"/>
                <w:lang w:val="en-GB"/>
              </w:rPr>
              <w:t>T</w:t>
            </w:r>
            <w:r w:rsidRPr="00020A81">
              <w:rPr>
                <w:sz w:val="20"/>
                <w:szCs w:val="20"/>
                <w:lang w:val="en-GB"/>
              </w:rPr>
              <w:t>he current absence of the primary document (the Inventory) from public scrutiny renders any meaningful civil society contribution or independent monitoring impossible.</w:t>
            </w:r>
          </w:p>
          <w:p w14:paraId="3715FC52" w14:textId="7BC989FD" w:rsidR="00FB2868" w:rsidRPr="002C702E" w:rsidRDefault="00FB2868" w:rsidP="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Proportionality for intended purpose</w:t>
            </w:r>
          </w:p>
          <w:p w14:paraId="33AA7B74" w14:textId="3CE04019" w:rsidR="004C2BF7" w:rsidRPr="002C702E" w:rsidRDefault="004C2BF7" w:rsidP="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555AA9">
              <w:rPr>
                <w:sz w:val="20"/>
                <w:szCs w:val="20"/>
                <w:lang w:val="en-GB"/>
              </w:rPr>
              <w:t xml:space="preserve">The lack of transparency regarding the </w:t>
            </w:r>
            <w:r>
              <w:rPr>
                <w:sz w:val="20"/>
                <w:szCs w:val="20"/>
                <w:lang w:val="en-GB"/>
              </w:rPr>
              <w:t xml:space="preserve">methodology for drafting process </w:t>
            </w:r>
            <w:r w:rsidRPr="00555AA9">
              <w:rPr>
                <w:sz w:val="20"/>
                <w:szCs w:val="20"/>
                <w:lang w:val="en-GB"/>
              </w:rPr>
              <w:t>makes it difficult to assess proportionality.</w:t>
            </w:r>
          </w:p>
        </w:tc>
      </w:tr>
      <w:tr w:rsidR="00FB2868" w:rsidRPr="002C702E"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Public availability of evidence of implementation</w:t>
            </w:r>
          </w:p>
        </w:tc>
        <w:tc>
          <w:tcPr>
            <w:tcW w:w="6753" w:type="dxa"/>
          </w:tcPr>
          <w:p w14:paraId="1C6FD198" w14:textId="77777777" w:rsidR="00832774" w:rsidRPr="002C702E" w:rsidRDefault="00832774" w:rsidP="0083277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Has the final source of verification (as per Reform Agenda) been made publicly available? If yes, please list the source (provide link) and date.</w:t>
            </w:r>
          </w:p>
          <w:p w14:paraId="4A928AD5" w14:textId="59DF373D"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Publicly available</w:t>
            </w:r>
            <w:r w:rsidRPr="002C702E">
              <w:rPr>
                <w:sz w:val="20"/>
                <w:szCs w:val="20"/>
                <w:lang w:val="en-GB"/>
              </w:rPr>
              <w:t>:</w:t>
            </w:r>
            <w:r w:rsidRPr="002C702E">
              <w:rPr>
                <w:b/>
                <w:bCs/>
                <w:sz w:val="20"/>
                <w:szCs w:val="20"/>
                <w:lang w:val="en-GB"/>
              </w:rPr>
              <w:t xml:space="preserve"> </w:t>
            </w:r>
            <w:r w:rsidR="0017351B">
              <w:rPr>
                <w:sz w:val="20"/>
                <w:szCs w:val="20"/>
                <w:lang w:val="en-GB"/>
              </w:rPr>
              <w:t>NO</w:t>
            </w:r>
          </w:p>
          <w:p w14:paraId="72E4F8C0"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C702E">
              <w:rPr>
                <w:sz w:val="20"/>
                <w:szCs w:val="20"/>
                <w:u w:val="single"/>
                <w:lang w:val="en-GB"/>
              </w:rPr>
              <w:t>Source</w:t>
            </w:r>
            <w:r w:rsidRPr="002C702E">
              <w:rPr>
                <w:sz w:val="20"/>
                <w:szCs w:val="20"/>
                <w:lang w:val="en-GB"/>
              </w:rPr>
              <w:t xml:space="preserve">: </w:t>
            </w:r>
          </w:p>
          <w:p w14:paraId="33601182" w14:textId="0207E1FE" w:rsidR="00A53FB6" w:rsidRDefault="00A53FB6" w:rsidP="00A53FB6">
            <w:pPr>
              <w:pStyle w:val="ListParagraph"/>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A53FB6">
              <w:rPr>
                <w:sz w:val="20"/>
                <w:szCs w:val="20"/>
                <w:lang w:val="en-GB"/>
              </w:rPr>
              <w:t>Government of the Republic of Serbia: (</w:t>
            </w:r>
            <w:r w:rsidR="004C2BF7">
              <w:rPr>
                <w:sz w:val="20"/>
                <w:szCs w:val="20"/>
                <w:lang w:val="en-GB"/>
              </w:rPr>
              <w:t>Responsible for adopting the Inventory through the Government Conclusion</w:t>
            </w:r>
            <w:r w:rsidRPr="00A53FB6">
              <w:rPr>
                <w:sz w:val="20"/>
                <w:szCs w:val="20"/>
                <w:lang w:val="en-GB"/>
              </w:rPr>
              <w:t>).</w:t>
            </w:r>
          </w:p>
          <w:p w14:paraId="30601931" w14:textId="59EB4FC5" w:rsidR="00A53FB6" w:rsidRPr="002E16F9" w:rsidRDefault="00A53FB6" w:rsidP="002E16F9">
            <w:pPr>
              <w:pStyle w:val="ListParagraph"/>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E16F9">
              <w:rPr>
                <w:sz w:val="20"/>
                <w:szCs w:val="20"/>
                <w:lang w:val="en-GB"/>
              </w:rPr>
              <w:t>Commission for State Aid Control (CSAC): (Responsible for drafting and maintenance of the inventory).</w:t>
            </w:r>
          </w:p>
          <w:p w14:paraId="5D8A540B" w14:textId="4D4A3344" w:rsidR="00A53FB6" w:rsidRPr="002E16F9" w:rsidRDefault="00A53FB6" w:rsidP="00A53FB6">
            <w:pPr>
              <w:pStyle w:val="ListParagraph"/>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2E16F9">
              <w:rPr>
                <w:sz w:val="20"/>
                <w:szCs w:val="20"/>
                <w:lang w:val="en-GB"/>
              </w:rPr>
              <w:lastRenderedPageBreak/>
              <w:t>European Commission: (Source of the Implementing Decision 12.01.2026 confirming the "grace period").</w:t>
            </w:r>
          </w:p>
          <w:p w14:paraId="7F77D18B" w14:textId="77777777" w:rsidR="00A53FB6" w:rsidRPr="002C702E" w:rsidRDefault="00A53FB6" w:rsidP="002E16F9">
            <w:pPr>
              <w:pStyle w:val="ListParagraph"/>
              <w:cnfStyle w:val="000000000000" w:firstRow="0" w:lastRow="0" w:firstColumn="0" w:lastColumn="0" w:oddVBand="0" w:evenVBand="0" w:oddHBand="0" w:evenHBand="0" w:firstRowFirstColumn="0" w:firstRowLastColumn="0" w:lastRowFirstColumn="0" w:lastRowLastColumn="0"/>
              <w:rPr>
                <w:lang w:val="en-GB"/>
              </w:rPr>
            </w:pPr>
          </w:p>
          <w:p w14:paraId="2032CF25" w14:textId="77777777" w:rsidR="00FB2868" w:rsidRDefault="00FB2868" w:rsidP="002E16F9">
            <w:pPr>
              <w:spacing w:before="120" w:after="120"/>
              <w:cnfStyle w:val="000000000000" w:firstRow="0" w:lastRow="0" w:firstColumn="0" w:lastColumn="0" w:oddVBand="0" w:evenVBand="0" w:oddHBand="0" w:evenHBand="0" w:firstRowFirstColumn="0" w:firstRowLastColumn="0" w:lastRowFirstColumn="0" w:lastRowLastColumn="0"/>
              <w:rPr>
                <w:lang w:val="en-GB"/>
              </w:rPr>
            </w:pPr>
            <w:r w:rsidRPr="002E16F9">
              <w:rPr>
                <w:sz w:val="20"/>
                <w:szCs w:val="20"/>
                <w:u w:val="single"/>
                <w:lang w:val="en-GB"/>
              </w:rPr>
              <w:t>Link</w:t>
            </w:r>
            <w:r w:rsidRPr="002C702E">
              <w:rPr>
                <w:lang w:val="en-GB"/>
              </w:rPr>
              <w:t xml:space="preserve">: </w:t>
            </w:r>
          </w:p>
          <w:p w14:paraId="2E5C02EA" w14:textId="60CF5747" w:rsidR="0017351B" w:rsidRDefault="00A53FB6" w:rsidP="00A53FB6">
            <w:pPr>
              <w:pStyle w:val="ListParagraph"/>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1" w:history="1">
              <w:r w:rsidRPr="006C2AEC">
                <w:rPr>
                  <w:rStyle w:val="Hyperlink"/>
                  <w:sz w:val="20"/>
                  <w:szCs w:val="20"/>
                  <w:lang w:val="en-GB"/>
                </w:rPr>
                <w:t>https://kkdp.gov.rs/</w:t>
              </w:r>
            </w:hyperlink>
          </w:p>
          <w:p w14:paraId="2A863B56" w14:textId="7C195368" w:rsidR="00A53FB6" w:rsidRPr="00F105EF" w:rsidRDefault="004C2BF7" w:rsidP="00A53FB6">
            <w:pPr>
              <w:pStyle w:val="ListParagraph"/>
              <w:numPr>
                <w:ilvl w:val="0"/>
                <w:numId w:val="11"/>
              </w:num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hyperlink r:id="rId12" w:history="1">
              <w:r w:rsidRPr="004C2BF7">
                <w:rPr>
                  <w:rStyle w:val="Hyperlink"/>
                  <w:sz w:val="20"/>
                  <w:szCs w:val="20"/>
                  <w:lang w:val="en-GB"/>
                </w:rPr>
                <w:t>https://www.srbija.gov.rs/dokument/873085/sednice-vlade-za-vreme-mandata-vlade-republike-srbije-izabrane-16-aprila-2025-godine-dokumenti-sa-sednica-odrzanih-2025-godine.php</w:t>
              </w:r>
            </w:hyperlink>
            <w:r>
              <w:rPr>
                <w:sz w:val="20"/>
                <w:szCs w:val="20"/>
                <w:lang w:val="en-GB"/>
              </w:rPr>
              <w:t xml:space="preserve"> </w:t>
            </w:r>
          </w:p>
          <w:p w14:paraId="497D6244" w14:textId="5FC32BBD" w:rsidR="00FB2868" w:rsidRPr="0017351B" w:rsidRDefault="00FB2868" w:rsidP="0017351B">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en-GB"/>
              </w:rPr>
            </w:pPr>
            <w:r w:rsidRPr="0017351B">
              <w:rPr>
                <w:sz w:val="20"/>
                <w:szCs w:val="20"/>
                <w:u w:val="single"/>
                <w:lang w:val="en-GB"/>
              </w:rPr>
              <w:t>Date of publication</w:t>
            </w:r>
            <w:r w:rsidRPr="0017351B">
              <w:rPr>
                <w:sz w:val="20"/>
                <w:szCs w:val="20"/>
                <w:lang w:val="en-GB"/>
              </w:rPr>
              <w:t xml:space="preserve">: </w:t>
            </w:r>
            <w:r w:rsidR="00A53FB6" w:rsidRPr="00EE16E0">
              <w:rPr>
                <w:b/>
                <w:bCs/>
                <w:sz w:val="20"/>
                <w:szCs w:val="20"/>
              </w:rPr>
              <w:t>N/A</w:t>
            </w:r>
            <w:r w:rsidR="00A53FB6" w:rsidRPr="00EE16E0">
              <w:rPr>
                <w:sz w:val="20"/>
                <w:szCs w:val="20"/>
              </w:rPr>
              <w:t xml:space="preserve"> (While an internal adoption date of 10 July 2025 is cited by Serbian authorities, no public release has occurred)</w:t>
            </w:r>
          </w:p>
        </w:tc>
      </w:tr>
      <w:tr w:rsidR="00FB2868" w:rsidRPr="002C702E"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2C702E" w:rsidRDefault="00FB2868">
            <w:pPr>
              <w:spacing w:before="120" w:after="120"/>
              <w:rPr>
                <w:rFonts w:ascii="Aptos" w:eastAsia="Times New Roman" w:hAnsi="Aptos" w:cs="Times New Roman"/>
                <w:kern w:val="0"/>
                <w:sz w:val="20"/>
                <w:szCs w:val="20"/>
                <w:lang w:val="en-GB" w:eastAsia="en-GB"/>
                <w14:ligatures w14:val="none"/>
              </w:rPr>
            </w:pPr>
            <w:r w:rsidRPr="002C702E">
              <w:rPr>
                <w:rFonts w:ascii="Aptos" w:eastAsia="Times New Roman" w:hAnsi="Aptos" w:cs="Times New Roman"/>
                <w:kern w:val="0"/>
                <w:sz w:val="20"/>
                <w:szCs w:val="20"/>
                <w:lang w:val="en-GB" w:eastAsia="en-GB"/>
                <w14:ligatures w14:val="none"/>
              </w:rPr>
              <w:lastRenderedPageBreak/>
              <w:t>Analyse quality of the final output of the reform step</w:t>
            </w:r>
          </w:p>
        </w:tc>
        <w:tc>
          <w:tcPr>
            <w:tcW w:w="6753" w:type="dxa"/>
          </w:tcPr>
          <w:p w14:paraId="39819D9A" w14:textId="77777777" w:rsidR="00EE4B71" w:rsidRPr="002C702E" w:rsidRDefault="00EE4B71" w:rsidP="00EE4B71">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To what extent does the final output of this reform step respect the applicable EU membership requirements/principles/standards? </w:t>
            </w:r>
          </w:p>
          <w:p w14:paraId="13F72F7A" w14:textId="5205D3AB" w:rsidR="00B4390F" w:rsidRPr="002C702E" w:rsidRDefault="00B4390F" w:rsidP="002E16F9">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lang w:val="en-GB"/>
              </w:rPr>
            </w:pPr>
            <w:r w:rsidRPr="00B4390F">
              <w:rPr>
                <w:sz w:val="20"/>
                <w:szCs w:val="20"/>
              </w:rPr>
              <w:t xml:space="preserve">The final </w:t>
            </w:r>
            <w:r>
              <w:rPr>
                <w:sz w:val="20"/>
                <w:szCs w:val="20"/>
              </w:rPr>
              <w:t>output</w:t>
            </w:r>
            <w:r w:rsidRPr="00B4390F">
              <w:rPr>
                <w:sz w:val="20"/>
                <w:szCs w:val="20"/>
              </w:rPr>
              <w:t xml:space="preserve"> of the recommendation is to establish a fully transparent, predictable, and EU-aligned state aid framework in Serbia that ensures fair market conditions for all economic operators. Through the completion of the comprehensive inventory of state aid schemes the reform aims to eliminate selective advantages, strengthen competition, and improve oversight of public resource allocation. </w:t>
            </w:r>
            <w:r w:rsidR="0070678F">
              <w:rPr>
                <w:sz w:val="20"/>
                <w:szCs w:val="20"/>
              </w:rPr>
              <w:t xml:space="preserve">However, as the Inventory is not publicly available the quality of the final output of the reform step cannot be assessed.  </w:t>
            </w:r>
          </w:p>
        </w:tc>
      </w:tr>
    </w:tbl>
    <w:p w14:paraId="4D18FB64" w14:textId="77777777" w:rsidR="00FB2868" w:rsidRPr="002C702E" w:rsidRDefault="00FB2868" w:rsidP="00FB2868">
      <w:pPr>
        <w:rPr>
          <w:lang w:val="en-GB"/>
        </w:rPr>
      </w:pPr>
    </w:p>
    <w:p w14:paraId="5270FB5A" w14:textId="77777777" w:rsidR="00FB2868" w:rsidRPr="002C702E" w:rsidRDefault="00FB2868" w:rsidP="00FB2868">
      <w:pPr>
        <w:pStyle w:val="Heading1"/>
        <w:numPr>
          <w:ilvl w:val="0"/>
          <w:numId w:val="1"/>
        </w:numPr>
        <w:rPr>
          <w:lang w:val="en-GB"/>
        </w:rPr>
      </w:pPr>
      <w:r w:rsidRPr="002C702E">
        <w:rPr>
          <w:lang w:val="en-GB"/>
        </w:rPr>
        <w:t>Final assessment</w:t>
      </w:r>
    </w:p>
    <w:p w14:paraId="5367853C" w14:textId="77777777" w:rsidR="00FB2868" w:rsidRPr="002C702E" w:rsidRDefault="00FB2868" w:rsidP="00FB2868">
      <w:pPr>
        <w:rPr>
          <w:lang w:val="en-GB"/>
        </w:rPr>
      </w:pPr>
    </w:p>
    <w:tbl>
      <w:tblPr>
        <w:tblStyle w:val="GridTable1Light"/>
        <w:tblW w:w="0" w:type="auto"/>
        <w:tblLook w:val="0480" w:firstRow="0" w:lastRow="0" w:firstColumn="1" w:lastColumn="0" w:noHBand="0" w:noVBand="1"/>
      </w:tblPr>
      <w:tblGrid>
        <w:gridCol w:w="2263"/>
        <w:gridCol w:w="6753"/>
      </w:tblGrid>
      <w:tr w:rsidR="00FB2868" w:rsidRPr="002C702E"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62B08398" w:rsidR="00FB2868" w:rsidRPr="002C702E" w:rsidRDefault="00FB2868">
            <w:pPr>
              <w:spacing w:before="60" w:after="60"/>
              <w:rPr>
                <w:sz w:val="20"/>
                <w:szCs w:val="20"/>
                <w:lang w:val="en-GB"/>
              </w:rPr>
            </w:pPr>
            <w:r w:rsidRPr="002C702E">
              <w:rPr>
                <w:sz w:val="20"/>
                <w:szCs w:val="20"/>
                <w:lang w:val="en-GB"/>
              </w:rPr>
              <w:t>Assess formal achievement</w:t>
            </w:r>
          </w:p>
        </w:tc>
        <w:tc>
          <w:tcPr>
            <w:tcW w:w="6753" w:type="dxa"/>
          </w:tcPr>
          <w:p w14:paraId="463F9E77" w14:textId="77777777" w:rsidR="00FB2868" w:rsidRPr="002C702E" w:rsidRDefault="00FB286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2C702E">
              <w:rPr>
                <w:b/>
                <w:bCs/>
                <w:sz w:val="20"/>
                <w:szCs w:val="20"/>
                <w:lang w:val="en-GB"/>
              </w:rPr>
              <w:t>Not achieved</w:t>
            </w:r>
          </w:p>
        </w:tc>
      </w:tr>
      <w:tr w:rsidR="00FB2868" w:rsidRPr="002C702E"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2C702E" w:rsidRDefault="00FB2868">
            <w:pPr>
              <w:spacing w:before="60" w:after="60"/>
              <w:rPr>
                <w:sz w:val="20"/>
                <w:szCs w:val="20"/>
                <w:lang w:val="en-GB"/>
              </w:rPr>
            </w:pPr>
            <w:r w:rsidRPr="002C702E">
              <w:rPr>
                <w:sz w:val="20"/>
                <w:szCs w:val="20"/>
                <w:lang w:val="en-GB"/>
              </w:rPr>
              <w:t>Elaboration of final assessment</w:t>
            </w:r>
          </w:p>
        </w:tc>
        <w:tc>
          <w:tcPr>
            <w:tcW w:w="6753" w:type="dxa"/>
          </w:tcPr>
          <w:p w14:paraId="0D486203" w14:textId="77777777" w:rsidR="00FB286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en-GB"/>
              </w:rPr>
            </w:pPr>
            <w:r w:rsidRPr="002C702E">
              <w:rPr>
                <w:i/>
                <w:iCs/>
                <w:sz w:val="20"/>
                <w:szCs w:val="20"/>
                <w:lang w:val="en-GB"/>
              </w:rPr>
              <w:t xml:space="preserve">Provide a brief and to-the-point elaboration of your final assessment. </w:t>
            </w:r>
          </w:p>
          <w:p w14:paraId="2CE4B4F4" w14:textId="0E4CBB12" w:rsidR="002E16F9" w:rsidRPr="00F72D27" w:rsidRDefault="002E16F9" w:rsidP="00952EDD">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2E16F9">
              <w:rPr>
                <w:sz w:val="20"/>
                <w:szCs w:val="20"/>
              </w:rPr>
              <w:t xml:space="preserve">The 2025 </w:t>
            </w:r>
            <w:r w:rsidR="0070678F">
              <w:rPr>
                <w:sz w:val="20"/>
                <w:szCs w:val="20"/>
              </w:rPr>
              <w:t xml:space="preserve">Government </w:t>
            </w:r>
            <w:r w:rsidRPr="002E16F9">
              <w:rPr>
                <w:sz w:val="20"/>
                <w:szCs w:val="20"/>
              </w:rPr>
              <w:t>Annual Report claims that the State Aid Inventory was finalized and adopted on 10 July 2025, following informal confirmation from the European Commission. However, this is directly contradicted by the Commission Implementing Decision (C/2026/18) of 12 January 2026, which explicitly identifies that several key comments from March 2024 remain unaddressed. By granting a 'grace period' until 31 December 2026 for the full and final adoption of the Inventory, the European Commission has formally confirmed that the document, in its current state, does not meet the qualitative requirements for the first release of funds under the Reform and Growth Facility (RGF).</w:t>
            </w:r>
            <w:r w:rsidR="0070678F">
              <w:rPr>
                <w:sz w:val="20"/>
                <w:szCs w:val="20"/>
              </w:rPr>
              <w:t>Since then, no additional formal information is available</w:t>
            </w:r>
            <w:r w:rsidR="00952EDD">
              <w:rPr>
                <w:sz w:val="20"/>
                <w:szCs w:val="20"/>
              </w:rPr>
              <w:t xml:space="preserve"> and Inventory is not </w:t>
            </w:r>
            <w:r w:rsidRPr="002E16F9">
              <w:rPr>
                <w:sz w:val="20"/>
                <w:szCs w:val="20"/>
              </w:rPr>
              <w:t>publicly available on the websites of the Ministry of Finance or the Commission for State Aid Control. Consequently, the reform step is assessed as</w:t>
            </w:r>
            <w:r w:rsidRPr="002E16F9">
              <w:rPr>
                <w:b/>
                <w:bCs/>
                <w:sz w:val="20"/>
                <w:szCs w:val="20"/>
              </w:rPr>
              <w:t xml:space="preserve"> </w:t>
            </w:r>
            <w:r w:rsidR="006F4732">
              <w:rPr>
                <w:b/>
                <w:bCs/>
                <w:sz w:val="20"/>
                <w:szCs w:val="20"/>
              </w:rPr>
              <w:t>n</w:t>
            </w:r>
            <w:r w:rsidRPr="002E16F9">
              <w:rPr>
                <w:b/>
                <w:bCs/>
                <w:sz w:val="20"/>
                <w:szCs w:val="20"/>
              </w:rPr>
              <w:t xml:space="preserve">ot </w:t>
            </w:r>
            <w:r w:rsidR="006F4732">
              <w:rPr>
                <w:b/>
                <w:bCs/>
                <w:sz w:val="20"/>
                <w:szCs w:val="20"/>
              </w:rPr>
              <w:t>a</w:t>
            </w:r>
            <w:r w:rsidRPr="002E16F9">
              <w:rPr>
                <w:b/>
                <w:bCs/>
                <w:sz w:val="20"/>
                <w:szCs w:val="20"/>
              </w:rPr>
              <w:t>chieved</w:t>
            </w:r>
            <w:r w:rsidRPr="002E16F9">
              <w:rPr>
                <w:sz w:val="20"/>
                <w:szCs w:val="20"/>
              </w:rPr>
              <w:t>.</w:t>
            </w:r>
          </w:p>
        </w:tc>
      </w:tr>
    </w:tbl>
    <w:p w14:paraId="3427AEAB" w14:textId="77777777" w:rsidR="00FB2868" w:rsidRPr="002C702E" w:rsidRDefault="00FB2868" w:rsidP="00FB2868">
      <w:pPr>
        <w:rPr>
          <w:lang w:val="en-GB"/>
        </w:rPr>
      </w:pPr>
    </w:p>
    <w:p w14:paraId="7164B700" w14:textId="77777777" w:rsidR="00FB2868" w:rsidRPr="002C702E" w:rsidRDefault="00FB2868" w:rsidP="00FB2868">
      <w:pPr>
        <w:rPr>
          <w:lang w:val="en-GB"/>
        </w:rPr>
      </w:pPr>
    </w:p>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6026" w14:textId="77777777" w:rsidR="001D5AF1" w:rsidRDefault="001D5AF1" w:rsidP="00FB2868">
      <w:r>
        <w:separator/>
      </w:r>
    </w:p>
  </w:endnote>
  <w:endnote w:type="continuationSeparator" w:id="0">
    <w:p w14:paraId="60B79110" w14:textId="77777777" w:rsidR="001D5AF1" w:rsidRDefault="001D5AF1" w:rsidP="00FB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DCEEB" w14:textId="77777777" w:rsidR="001D5AF1" w:rsidRDefault="001D5AF1" w:rsidP="00FB2868">
      <w:r>
        <w:separator/>
      </w:r>
    </w:p>
  </w:footnote>
  <w:footnote w:type="continuationSeparator" w:id="0">
    <w:p w14:paraId="0BA3F134" w14:textId="77777777" w:rsidR="001D5AF1" w:rsidRDefault="001D5AF1" w:rsidP="00FB2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F155E"/>
    <w:multiLevelType w:val="hybridMultilevel"/>
    <w:tmpl w:val="1EA88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F1633"/>
    <w:multiLevelType w:val="hybridMultilevel"/>
    <w:tmpl w:val="723AB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BC633A"/>
    <w:multiLevelType w:val="hybridMultilevel"/>
    <w:tmpl w:val="F5347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8923B1"/>
    <w:multiLevelType w:val="hybridMultilevel"/>
    <w:tmpl w:val="F7563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313549"/>
    <w:multiLevelType w:val="hybridMultilevel"/>
    <w:tmpl w:val="21145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9074005">
    <w:abstractNumId w:val="4"/>
  </w:num>
  <w:num w:numId="2" w16cid:durableId="1811746263">
    <w:abstractNumId w:val="5"/>
  </w:num>
  <w:num w:numId="3" w16cid:durableId="732585498">
    <w:abstractNumId w:val="6"/>
  </w:num>
  <w:num w:numId="4" w16cid:durableId="368259940">
    <w:abstractNumId w:val="7"/>
  </w:num>
  <w:num w:numId="5" w16cid:durableId="458231703">
    <w:abstractNumId w:val="8"/>
  </w:num>
  <w:num w:numId="6" w16cid:durableId="1390301576">
    <w:abstractNumId w:val="2"/>
  </w:num>
  <w:num w:numId="7" w16cid:durableId="1303804533">
    <w:abstractNumId w:val="1"/>
  </w:num>
  <w:num w:numId="8" w16cid:durableId="468791839">
    <w:abstractNumId w:val="0"/>
  </w:num>
  <w:num w:numId="9" w16cid:durableId="2041472803">
    <w:abstractNumId w:val="9"/>
  </w:num>
  <w:num w:numId="10" w16cid:durableId="1689720833">
    <w:abstractNumId w:val="10"/>
  </w:num>
  <w:num w:numId="11" w16cid:durableId="14007138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44ED"/>
    <w:rsid w:val="00020A81"/>
    <w:rsid w:val="00032BC7"/>
    <w:rsid w:val="000407CE"/>
    <w:rsid w:val="00043228"/>
    <w:rsid w:val="00047E22"/>
    <w:rsid w:val="00054111"/>
    <w:rsid w:val="00066E88"/>
    <w:rsid w:val="00090FF7"/>
    <w:rsid w:val="000922D1"/>
    <w:rsid w:val="00093CB6"/>
    <w:rsid w:val="000C7B18"/>
    <w:rsid w:val="000E44D8"/>
    <w:rsid w:val="00100738"/>
    <w:rsid w:val="00101FFD"/>
    <w:rsid w:val="00110B7F"/>
    <w:rsid w:val="0012698A"/>
    <w:rsid w:val="00127F47"/>
    <w:rsid w:val="001301AE"/>
    <w:rsid w:val="001411F6"/>
    <w:rsid w:val="00155EF2"/>
    <w:rsid w:val="001572F8"/>
    <w:rsid w:val="0017351B"/>
    <w:rsid w:val="0018044D"/>
    <w:rsid w:val="00181AEB"/>
    <w:rsid w:val="001A2EB2"/>
    <w:rsid w:val="001A4410"/>
    <w:rsid w:val="001A498E"/>
    <w:rsid w:val="001B1254"/>
    <w:rsid w:val="001C0599"/>
    <w:rsid w:val="001C4638"/>
    <w:rsid w:val="001D5AF1"/>
    <w:rsid w:val="001E374C"/>
    <w:rsid w:val="001E618B"/>
    <w:rsid w:val="00200CB5"/>
    <w:rsid w:val="00203A15"/>
    <w:rsid w:val="0022658B"/>
    <w:rsid w:val="002330FC"/>
    <w:rsid w:val="002567E5"/>
    <w:rsid w:val="00256AFE"/>
    <w:rsid w:val="00257136"/>
    <w:rsid w:val="0026595E"/>
    <w:rsid w:val="002707B4"/>
    <w:rsid w:val="00272F80"/>
    <w:rsid w:val="002870CC"/>
    <w:rsid w:val="002A7236"/>
    <w:rsid w:val="002B2FD5"/>
    <w:rsid w:val="002B5AF7"/>
    <w:rsid w:val="002E16F9"/>
    <w:rsid w:val="002E6092"/>
    <w:rsid w:val="002F483E"/>
    <w:rsid w:val="002F4977"/>
    <w:rsid w:val="002F5301"/>
    <w:rsid w:val="00303197"/>
    <w:rsid w:val="00304D95"/>
    <w:rsid w:val="00305E86"/>
    <w:rsid w:val="00310D47"/>
    <w:rsid w:val="00312CCC"/>
    <w:rsid w:val="00312E5B"/>
    <w:rsid w:val="00327641"/>
    <w:rsid w:val="0036423E"/>
    <w:rsid w:val="00371039"/>
    <w:rsid w:val="00395DBC"/>
    <w:rsid w:val="003A091E"/>
    <w:rsid w:val="003A1B76"/>
    <w:rsid w:val="003A3908"/>
    <w:rsid w:val="003A58EF"/>
    <w:rsid w:val="003B6E3A"/>
    <w:rsid w:val="003C1630"/>
    <w:rsid w:val="003C4CCC"/>
    <w:rsid w:val="00402312"/>
    <w:rsid w:val="004332F5"/>
    <w:rsid w:val="004340E7"/>
    <w:rsid w:val="004367CE"/>
    <w:rsid w:val="0043723E"/>
    <w:rsid w:val="00441DFE"/>
    <w:rsid w:val="00467E4E"/>
    <w:rsid w:val="004740F7"/>
    <w:rsid w:val="00477BCD"/>
    <w:rsid w:val="00495151"/>
    <w:rsid w:val="004B407F"/>
    <w:rsid w:val="004B43CE"/>
    <w:rsid w:val="004C2BF7"/>
    <w:rsid w:val="004D34AD"/>
    <w:rsid w:val="004D6848"/>
    <w:rsid w:val="004D7A23"/>
    <w:rsid w:val="004E2298"/>
    <w:rsid w:val="004E553C"/>
    <w:rsid w:val="004F6EF6"/>
    <w:rsid w:val="00530194"/>
    <w:rsid w:val="00533AC9"/>
    <w:rsid w:val="005347AB"/>
    <w:rsid w:val="00553BE4"/>
    <w:rsid w:val="005541A2"/>
    <w:rsid w:val="005630F4"/>
    <w:rsid w:val="005A1716"/>
    <w:rsid w:val="005B0381"/>
    <w:rsid w:val="005C0179"/>
    <w:rsid w:val="005C6F48"/>
    <w:rsid w:val="005E137F"/>
    <w:rsid w:val="005E5ACD"/>
    <w:rsid w:val="005F7BCC"/>
    <w:rsid w:val="00600E02"/>
    <w:rsid w:val="00604C42"/>
    <w:rsid w:val="00611BEF"/>
    <w:rsid w:val="00614FBB"/>
    <w:rsid w:val="0062353F"/>
    <w:rsid w:val="00646DE4"/>
    <w:rsid w:val="00682274"/>
    <w:rsid w:val="00683F6B"/>
    <w:rsid w:val="006A38EB"/>
    <w:rsid w:val="006C2B43"/>
    <w:rsid w:val="006D5EA7"/>
    <w:rsid w:val="006D6471"/>
    <w:rsid w:val="006D67B0"/>
    <w:rsid w:val="006E3D72"/>
    <w:rsid w:val="006F4732"/>
    <w:rsid w:val="006F5B0A"/>
    <w:rsid w:val="0070678F"/>
    <w:rsid w:val="007111B4"/>
    <w:rsid w:val="00713C74"/>
    <w:rsid w:val="00716B2A"/>
    <w:rsid w:val="007173DF"/>
    <w:rsid w:val="007202E9"/>
    <w:rsid w:val="0072078A"/>
    <w:rsid w:val="00726821"/>
    <w:rsid w:val="00727D03"/>
    <w:rsid w:val="00734FA0"/>
    <w:rsid w:val="0076645F"/>
    <w:rsid w:val="0077695F"/>
    <w:rsid w:val="007B0587"/>
    <w:rsid w:val="007B215B"/>
    <w:rsid w:val="007B2421"/>
    <w:rsid w:val="007B4D10"/>
    <w:rsid w:val="007C62BD"/>
    <w:rsid w:val="007D3DF2"/>
    <w:rsid w:val="007D7908"/>
    <w:rsid w:val="007E7160"/>
    <w:rsid w:val="007F1009"/>
    <w:rsid w:val="007F53FC"/>
    <w:rsid w:val="00800DF0"/>
    <w:rsid w:val="008160FC"/>
    <w:rsid w:val="008163AD"/>
    <w:rsid w:val="00832774"/>
    <w:rsid w:val="00845104"/>
    <w:rsid w:val="00850D4A"/>
    <w:rsid w:val="008638B6"/>
    <w:rsid w:val="008663AF"/>
    <w:rsid w:val="00866CB2"/>
    <w:rsid w:val="00881FDE"/>
    <w:rsid w:val="00882A21"/>
    <w:rsid w:val="00885C4B"/>
    <w:rsid w:val="008A19A6"/>
    <w:rsid w:val="008D2DC5"/>
    <w:rsid w:val="00915DE1"/>
    <w:rsid w:val="00936007"/>
    <w:rsid w:val="00952EDD"/>
    <w:rsid w:val="00954600"/>
    <w:rsid w:val="00980C61"/>
    <w:rsid w:val="0099633C"/>
    <w:rsid w:val="009C0074"/>
    <w:rsid w:val="009C7887"/>
    <w:rsid w:val="009C7A8A"/>
    <w:rsid w:val="009D22FB"/>
    <w:rsid w:val="009E0F7C"/>
    <w:rsid w:val="009F3D4E"/>
    <w:rsid w:val="009F48FE"/>
    <w:rsid w:val="00A077CC"/>
    <w:rsid w:val="00A234DB"/>
    <w:rsid w:val="00A4631A"/>
    <w:rsid w:val="00A50397"/>
    <w:rsid w:val="00A53FB6"/>
    <w:rsid w:val="00A55986"/>
    <w:rsid w:val="00A77C7C"/>
    <w:rsid w:val="00A866AB"/>
    <w:rsid w:val="00A93A36"/>
    <w:rsid w:val="00AD2A0B"/>
    <w:rsid w:val="00AD5469"/>
    <w:rsid w:val="00AE2176"/>
    <w:rsid w:val="00AE5EDF"/>
    <w:rsid w:val="00AF3CD2"/>
    <w:rsid w:val="00B06792"/>
    <w:rsid w:val="00B06AF3"/>
    <w:rsid w:val="00B1701F"/>
    <w:rsid w:val="00B21CF8"/>
    <w:rsid w:val="00B3283F"/>
    <w:rsid w:val="00B36266"/>
    <w:rsid w:val="00B4390F"/>
    <w:rsid w:val="00B57961"/>
    <w:rsid w:val="00B81368"/>
    <w:rsid w:val="00BD584C"/>
    <w:rsid w:val="00BE5673"/>
    <w:rsid w:val="00BF0B8E"/>
    <w:rsid w:val="00BF3EDB"/>
    <w:rsid w:val="00BF6943"/>
    <w:rsid w:val="00C1028D"/>
    <w:rsid w:val="00C140E4"/>
    <w:rsid w:val="00C2126C"/>
    <w:rsid w:val="00C3194B"/>
    <w:rsid w:val="00C40826"/>
    <w:rsid w:val="00C414A4"/>
    <w:rsid w:val="00C54320"/>
    <w:rsid w:val="00C75DFE"/>
    <w:rsid w:val="00C911ED"/>
    <w:rsid w:val="00C9562D"/>
    <w:rsid w:val="00CB35C9"/>
    <w:rsid w:val="00CC73F4"/>
    <w:rsid w:val="00CE21EE"/>
    <w:rsid w:val="00CE57F3"/>
    <w:rsid w:val="00D415A0"/>
    <w:rsid w:val="00D810B1"/>
    <w:rsid w:val="00D86EF0"/>
    <w:rsid w:val="00D92517"/>
    <w:rsid w:val="00D9583B"/>
    <w:rsid w:val="00D97558"/>
    <w:rsid w:val="00DB03CE"/>
    <w:rsid w:val="00DB6B26"/>
    <w:rsid w:val="00DC67B7"/>
    <w:rsid w:val="00DD20F1"/>
    <w:rsid w:val="00DD4A68"/>
    <w:rsid w:val="00DD5842"/>
    <w:rsid w:val="00DE4093"/>
    <w:rsid w:val="00DE51D8"/>
    <w:rsid w:val="00DE6F8B"/>
    <w:rsid w:val="00DF0A4E"/>
    <w:rsid w:val="00E04369"/>
    <w:rsid w:val="00E06827"/>
    <w:rsid w:val="00E464F3"/>
    <w:rsid w:val="00E51948"/>
    <w:rsid w:val="00E550A8"/>
    <w:rsid w:val="00E71B5E"/>
    <w:rsid w:val="00E76CE8"/>
    <w:rsid w:val="00E92204"/>
    <w:rsid w:val="00E96F13"/>
    <w:rsid w:val="00EB0CDB"/>
    <w:rsid w:val="00EB3566"/>
    <w:rsid w:val="00EB7A38"/>
    <w:rsid w:val="00EC2CE2"/>
    <w:rsid w:val="00EC7E08"/>
    <w:rsid w:val="00ED0817"/>
    <w:rsid w:val="00EE4B71"/>
    <w:rsid w:val="00F05631"/>
    <w:rsid w:val="00F20FD6"/>
    <w:rsid w:val="00F23C4A"/>
    <w:rsid w:val="00F25946"/>
    <w:rsid w:val="00F31D9F"/>
    <w:rsid w:val="00F43AA8"/>
    <w:rsid w:val="00F57EE9"/>
    <w:rsid w:val="00F72D27"/>
    <w:rsid w:val="00F76152"/>
    <w:rsid w:val="00F84C39"/>
    <w:rsid w:val="00FB0049"/>
    <w:rsid w:val="00FB2868"/>
    <w:rsid w:val="00FB4F18"/>
    <w:rsid w:val="00FD3455"/>
    <w:rsid w:val="00FD4253"/>
    <w:rsid w:val="00FD4918"/>
    <w:rsid w:val="00FE4D9F"/>
    <w:rsid w:val="00FF1769"/>
    <w:rsid w:val="00FF2F94"/>
    <w:rsid w:val="76182B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C0521377-FD10-4F82-A626-B67324641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unhideWhenUsed/>
    <w:rsid w:val="007111B4"/>
    <w:pPr>
      <w:tabs>
        <w:tab w:val="center" w:pos="4680"/>
        <w:tab w:val="right" w:pos="9360"/>
      </w:tabs>
    </w:pPr>
  </w:style>
  <w:style w:type="character" w:customStyle="1" w:styleId="HeaderChar">
    <w:name w:val="Header Char"/>
    <w:basedOn w:val="DefaultParagraphFont"/>
    <w:link w:val="Header"/>
    <w:uiPriority w:val="99"/>
    <w:rsid w:val="002707B4"/>
    <w:rPr>
      <w:lang w:val="en-US"/>
    </w:rPr>
  </w:style>
  <w:style w:type="paragraph" w:styleId="Footer">
    <w:name w:val="footer"/>
    <w:basedOn w:val="Normal"/>
    <w:link w:val="FooterChar"/>
    <w:uiPriority w:val="99"/>
    <w:unhideWhenUsed/>
    <w:rsid w:val="007111B4"/>
    <w:pPr>
      <w:tabs>
        <w:tab w:val="center" w:pos="4680"/>
        <w:tab w:val="right" w:pos="9360"/>
      </w:tabs>
    </w:pPr>
  </w:style>
  <w:style w:type="character" w:customStyle="1" w:styleId="FooterChar">
    <w:name w:val="Footer Char"/>
    <w:basedOn w:val="DefaultParagraphFont"/>
    <w:link w:val="Footer"/>
    <w:uiPriority w:val="99"/>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17351B"/>
    <w:rPr>
      <w:color w:val="605E5C"/>
      <w:shd w:val="clear" w:color="auto" w:fill="E1DFDD"/>
    </w:rPr>
  </w:style>
  <w:style w:type="paragraph" w:styleId="Revision">
    <w:name w:val="Revision"/>
    <w:hidden/>
    <w:uiPriority w:val="99"/>
    <w:semiHidden/>
    <w:rsid w:val="008A19A6"/>
  </w:style>
  <w:style w:type="character" w:styleId="FollowedHyperlink">
    <w:name w:val="FollowedHyperlink"/>
    <w:basedOn w:val="DefaultParagraphFont"/>
    <w:uiPriority w:val="99"/>
    <w:semiHidden/>
    <w:unhideWhenUsed/>
    <w:rsid w:val="008451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largement.ec.europa.eu/document/download/e5ebe6f6-83e6-49d9-9f28-03e808b2c59e_en?filename=C_2026_18_1_EN_annexe_acte_autonome_nlw_part1_v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rbija.gov.rs/dokument/873085/sednice-vlade-za-vreme-mandata-vlade-republike-srbije-izabrane-16-aprila-2025-godine-dokumenti-sa-sednica-odrzanih-2025-godine.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dp.gov.rs/" TargetMode="External"/><Relationship Id="rId5" Type="http://schemas.openxmlformats.org/officeDocument/2006/relationships/webSettings" Target="webSettings.xml"/><Relationship Id="rId10" Type="http://schemas.openxmlformats.org/officeDocument/2006/relationships/hyperlink" Target="https://kkdp.gov.rs/" TargetMode="External"/><Relationship Id="rId4" Type="http://schemas.openxmlformats.org/officeDocument/2006/relationships/settings" Target="settings.xml"/><Relationship Id="rId9" Type="http://schemas.openxmlformats.org/officeDocument/2006/relationships/hyperlink" Target="https://enlargement.ec.europa.eu/document/download/e5ebe6f6-83e6-49d9-9f28-03e808b2c59e_en?filename=C_2026_18_1_EN_annexe_acte_autonome_nlw_part1_v2.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2123</Words>
  <Characters>12593</Characters>
  <Application>Microsoft Office Word</Application>
  <DocSecurity>0</DocSecurity>
  <Lines>273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6</cp:revision>
  <dcterms:created xsi:type="dcterms:W3CDTF">2026-04-02T14:14:00Z</dcterms:created>
  <dcterms:modified xsi:type="dcterms:W3CDTF">2026-04-24T18:28:00Z</dcterms:modified>
</cp:coreProperties>
</file>